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B79" w:rsidRDefault="00F13B79" w:rsidP="00B43247"/>
    <w:p w:rsidR="008F4074" w:rsidRDefault="00224A79" w:rsidP="00B43247">
      <w:r w:rsidRPr="008F4074">
        <w:t xml:space="preserve">One of the initial steps toward the integration of primary and behavioral health care in any organization is to identify the important components of integrated care and then determine which areas need the most attention.  The two brief questionnaires in this document cover the more important dimensions on this process as they may exist in federally qualified health centers (FQHCs), rural health centers (RHCs) and community health centers (CHCs).  </w:t>
      </w:r>
      <w:r w:rsidR="009070BD">
        <w:t>The process involves three steps.</w:t>
      </w:r>
    </w:p>
    <w:p w:rsidR="009070BD" w:rsidRDefault="009070BD" w:rsidP="00B43247"/>
    <w:p w:rsidR="009070BD" w:rsidRDefault="009070BD" w:rsidP="009070BD">
      <w:pPr>
        <w:pBdr>
          <w:top w:val="single" w:sz="4" w:space="1" w:color="auto"/>
          <w:left w:val="single" w:sz="4" w:space="4" w:color="auto"/>
          <w:bottom w:val="single" w:sz="4" w:space="1" w:color="auto"/>
          <w:right w:val="single" w:sz="4" w:space="4" w:color="auto"/>
        </w:pBdr>
        <w:shd w:val="clear" w:color="auto" w:fill="D9D9D9" w:themeFill="background1" w:themeFillShade="D9"/>
      </w:pPr>
      <w:r>
        <w:t>Step 1:  Complete the appropriate questionnaire</w:t>
      </w:r>
    </w:p>
    <w:p w:rsidR="008F4074" w:rsidRDefault="008F4074" w:rsidP="00B43247"/>
    <w:p w:rsidR="00E07B0A" w:rsidRPr="008F4074" w:rsidRDefault="00D13A28" w:rsidP="00B43247">
      <w:r w:rsidRPr="008F4074">
        <w:t xml:space="preserve">The CEO or administrator of the center should complete one of the instruments and the clinicians providing primary and behavioral health care should complete the other.  </w:t>
      </w:r>
      <w:r w:rsidR="00E07B0A" w:rsidRPr="008F4074">
        <w:t xml:space="preserve">The assessment follows a straightforward format.  Respondents are presented with a series of </w:t>
      </w:r>
      <w:r w:rsidR="00AB0D9C" w:rsidRPr="008F4074">
        <w:t>statements</w:t>
      </w:r>
      <w:r w:rsidR="00E07B0A" w:rsidRPr="008F4074">
        <w:t xml:space="preserve">, divided into </w:t>
      </w:r>
      <w:r w:rsidR="00AB0D9C" w:rsidRPr="008F4074">
        <w:t>categories, which describe an important aspect of a clinic where primary and behavioral health care are well integrated.  The respondents then indicate how well the statement describes their own clinic by enter a number next to the statement:</w:t>
      </w:r>
    </w:p>
    <w:p w:rsidR="00E07B0A" w:rsidRPr="008F4074" w:rsidRDefault="00E07B0A" w:rsidP="00B43247"/>
    <w:p w:rsidR="00E07B0A" w:rsidRPr="008F4074" w:rsidRDefault="00E07B0A" w:rsidP="00E07B0A">
      <w:pPr>
        <w:ind w:left="2160"/>
      </w:pPr>
      <w:r w:rsidRPr="008F4074">
        <w:t xml:space="preserve">1 = “This does not really describe us.” </w:t>
      </w:r>
    </w:p>
    <w:p w:rsidR="00E07B0A" w:rsidRPr="008F4074" w:rsidRDefault="00E07B0A" w:rsidP="00E07B0A">
      <w:pPr>
        <w:ind w:left="2160"/>
      </w:pPr>
      <w:r w:rsidRPr="008F4074">
        <w:t>2 = “We are making some progress, but we are not this far along”</w:t>
      </w:r>
    </w:p>
    <w:p w:rsidR="00E07B0A" w:rsidRPr="008F4074" w:rsidRDefault="00E07B0A" w:rsidP="00E07B0A">
      <w:pPr>
        <w:ind w:left="2160"/>
      </w:pPr>
      <w:r w:rsidRPr="008F4074">
        <w:t>3 = “For the most part, this describes us.”</w:t>
      </w:r>
    </w:p>
    <w:p w:rsidR="00E07B0A" w:rsidRPr="008F4074" w:rsidRDefault="00E07B0A" w:rsidP="00B43247"/>
    <w:p w:rsidR="00E07B0A" w:rsidRPr="008F4074" w:rsidRDefault="00E07B0A" w:rsidP="00B43247">
      <w:r w:rsidRPr="008F4074">
        <w:t>The readiness assessment to be completed by the CEO or other key administrative personnel is divided into two sections:</w:t>
      </w:r>
    </w:p>
    <w:p w:rsidR="00E07B0A" w:rsidRPr="008F4074" w:rsidRDefault="00E07B0A" w:rsidP="00381C50">
      <w:pPr>
        <w:pStyle w:val="ListParagraph"/>
        <w:numPr>
          <w:ilvl w:val="0"/>
          <w:numId w:val="3"/>
        </w:numPr>
      </w:pPr>
      <w:r w:rsidRPr="008F4074">
        <w:t>Structural Integration of Primary and Behavioral Health Care within the Clinic</w:t>
      </w:r>
      <w:r w:rsidR="00AB0D9C" w:rsidRPr="008F4074">
        <w:t xml:space="preserve">:  </w:t>
      </w:r>
      <w:r w:rsidRPr="008F4074">
        <w:t xml:space="preserve">The nine </w:t>
      </w:r>
      <w:r w:rsidR="00AB0D9C" w:rsidRPr="008F4074">
        <w:t>statements describe physical proximity of primary care providers (PCPs) and behavioral health providers (BHPs), ease with which scheduling and patient notes are shared between providers, and resource allocation for behavioral health providers in the primary care setting.</w:t>
      </w:r>
    </w:p>
    <w:p w:rsidR="00E07B0A" w:rsidRPr="008F4074" w:rsidRDefault="00E07B0A" w:rsidP="00E07B0A">
      <w:pPr>
        <w:pStyle w:val="ListParagraph"/>
        <w:numPr>
          <w:ilvl w:val="0"/>
          <w:numId w:val="3"/>
        </w:numPr>
      </w:pPr>
      <w:r w:rsidRPr="008F4074">
        <w:t>Financial Integration of Primary and Behavioral Health Care within the Clinic</w:t>
      </w:r>
      <w:r w:rsidR="00AB0D9C" w:rsidRPr="008F4074">
        <w:t>: the six statements describe routine referral processes</w:t>
      </w:r>
      <w:r w:rsidR="008F4074" w:rsidRPr="008F4074">
        <w:t xml:space="preserve"> between PCPs and BHPs, clinic-wide goals for behavioral health screening using validated tools, and ongoing process evaluation.</w:t>
      </w:r>
    </w:p>
    <w:p w:rsidR="008F4074" w:rsidRPr="008F4074" w:rsidRDefault="008F4074" w:rsidP="008F4074"/>
    <w:p w:rsidR="008F4074" w:rsidRPr="008F4074" w:rsidRDefault="008F4074" w:rsidP="008F4074">
      <w:r w:rsidRPr="008F4074">
        <w:t>The readiness assessment to be completed by the Medical Director or other key clinician is divided into two sections:</w:t>
      </w:r>
    </w:p>
    <w:p w:rsidR="008F4074" w:rsidRPr="008F4074" w:rsidRDefault="008F4074" w:rsidP="00381C50">
      <w:pPr>
        <w:pStyle w:val="ListParagraph"/>
        <w:numPr>
          <w:ilvl w:val="0"/>
          <w:numId w:val="4"/>
        </w:numPr>
      </w:pPr>
      <w:r w:rsidRPr="008F4074">
        <w:t>Communication Pathways: the nine statements how patients are screened for behavioral health issues, how the PCPs interact with BHPs and how PCPs and BHPs collaborate regarding patient treatment plan</w:t>
      </w:r>
    </w:p>
    <w:p w:rsidR="008F4074" w:rsidRPr="008F4074" w:rsidRDefault="008F4074" w:rsidP="008F4074">
      <w:pPr>
        <w:pStyle w:val="ListParagraph"/>
        <w:numPr>
          <w:ilvl w:val="0"/>
          <w:numId w:val="4"/>
        </w:numPr>
      </w:pPr>
      <w:r w:rsidRPr="008F4074">
        <w:t>Patient Population Impact: the six statements describe frequency, type and use of screening data collection, as well as types of patient referral processes and coordination of care coordinator follow-up.</w:t>
      </w:r>
    </w:p>
    <w:p w:rsidR="00D13A28" w:rsidRDefault="00D13A28" w:rsidP="00B43247"/>
    <w:p w:rsidR="009070BD" w:rsidRDefault="009070BD" w:rsidP="009070BD">
      <w:pPr>
        <w:pBdr>
          <w:top w:val="single" w:sz="4" w:space="1" w:color="auto"/>
          <w:left w:val="single" w:sz="4" w:space="4" w:color="auto"/>
          <w:bottom w:val="single" w:sz="4" w:space="1" w:color="auto"/>
          <w:right w:val="single" w:sz="4" w:space="4" w:color="auto"/>
        </w:pBdr>
        <w:shd w:val="clear" w:color="auto" w:fill="D9D9D9" w:themeFill="background1" w:themeFillShade="D9"/>
      </w:pPr>
      <w:r>
        <w:t>Step 2: Discuss the results with your SBIRT/Integrated Care mentor</w:t>
      </w:r>
    </w:p>
    <w:p w:rsidR="009070BD" w:rsidRDefault="009070BD" w:rsidP="00B43247"/>
    <w:p w:rsidR="009070BD" w:rsidRDefault="009070BD" w:rsidP="00B43247">
      <w:r>
        <w:t xml:space="preserve">Until September 2016, SBIRT training and outreach services are funded at the Indiana Prevention Resource Center through a grant received by FSSA/DMHA from SAMHSA.  For more information on this program, visit </w:t>
      </w:r>
      <w:hyperlink r:id="rId7" w:history="1">
        <w:r w:rsidRPr="009B12A9">
          <w:rPr>
            <w:rStyle w:val="Hyperlink"/>
          </w:rPr>
          <w:t>www.IndianaSBIRT.org</w:t>
        </w:r>
      </w:hyperlink>
      <w:r>
        <w:t xml:space="preserve"> .</w:t>
      </w:r>
    </w:p>
    <w:p w:rsidR="009070BD" w:rsidRDefault="009070BD" w:rsidP="00B43247"/>
    <w:p w:rsidR="009070BD" w:rsidRDefault="009070BD" w:rsidP="009070BD">
      <w:pPr>
        <w:pBdr>
          <w:top w:val="single" w:sz="4" w:space="1" w:color="auto"/>
          <w:left w:val="single" w:sz="4" w:space="4" w:color="auto"/>
          <w:bottom w:val="single" w:sz="4" w:space="1" w:color="auto"/>
          <w:right w:val="single" w:sz="4" w:space="4" w:color="auto"/>
        </w:pBdr>
        <w:shd w:val="clear" w:color="auto" w:fill="D9D9D9" w:themeFill="background1" w:themeFillShade="D9"/>
      </w:pPr>
      <w:r>
        <w:t>Step 3: Meet with your team and begin implementation</w:t>
      </w:r>
    </w:p>
    <w:p w:rsidR="009070BD" w:rsidRDefault="009070BD" w:rsidP="00B43247"/>
    <w:p w:rsidR="009070BD" w:rsidRDefault="009070BD" w:rsidP="00B43247">
      <w:r>
        <w:t xml:space="preserve">For now, the best source of information on implementing SBIRT and integrated care processes </w:t>
      </w:r>
      <w:r w:rsidR="00381C50">
        <w:t>can be found at the following SAMHSA/HRSA Center for Integrated Health Solutions websites:</w:t>
      </w:r>
    </w:p>
    <w:p w:rsidR="00381C50" w:rsidRDefault="00381C50" w:rsidP="00B43247"/>
    <w:p w:rsidR="00381C50" w:rsidRDefault="00381C50" w:rsidP="00B43247">
      <w:r>
        <w:t xml:space="preserve">For general information on billing:  </w:t>
      </w:r>
      <w:hyperlink r:id="rId8" w:history="1">
        <w:r w:rsidRPr="009B12A9">
          <w:rPr>
            <w:rStyle w:val="Hyperlink"/>
          </w:rPr>
          <w:t>http://www.integration.samhsa.gov</w:t>
        </w:r>
      </w:hyperlink>
      <w:r>
        <w:t xml:space="preserve"> </w:t>
      </w:r>
    </w:p>
    <w:p w:rsidR="00381C50" w:rsidRDefault="00381C50" w:rsidP="00B43247"/>
    <w:p w:rsidR="00381C50" w:rsidRDefault="00381C50" w:rsidP="00B43247">
      <w:r>
        <w:t xml:space="preserve">For information specific to SBIRT:  </w:t>
      </w:r>
      <w:hyperlink r:id="rId9" w:history="1">
        <w:r w:rsidRPr="009B12A9">
          <w:rPr>
            <w:rStyle w:val="Hyperlink"/>
          </w:rPr>
          <w:t>http://www.integration.samhsa.gov/clinical-practice/sbirt</w:t>
        </w:r>
      </w:hyperlink>
    </w:p>
    <w:p w:rsidR="00381C50" w:rsidRDefault="00381C50" w:rsidP="00B43247"/>
    <w:p w:rsidR="00381C50" w:rsidRDefault="00381C50" w:rsidP="00B43247"/>
    <w:p w:rsidR="00D13A28" w:rsidRDefault="00D13A28" w:rsidP="00B43247">
      <w:r w:rsidRPr="008F4074">
        <w:t>The</w:t>
      </w:r>
      <w:r w:rsidR="00381C50">
        <w:t xml:space="preserve"> following</w:t>
      </w:r>
      <w:r w:rsidRPr="008F4074">
        <w:t xml:space="preserve"> assessment tools are modified</w:t>
      </w:r>
      <w:r w:rsidR="00E07B0A" w:rsidRPr="008F4074">
        <w:t xml:space="preserve"> </w:t>
      </w:r>
      <w:r w:rsidRPr="008F4074">
        <w:t>from the “Integrated Behavioral Health Survey” dev</w:t>
      </w:r>
      <w:r w:rsidR="00E07B0A" w:rsidRPr="008F4074">
        <w:t xml:space="preserve">eloped for assessing readiness in Virginia FQHCs by Bill </w:t>
      </w:r>
      <w:proofErr w:type="spellStart"/>
      <w:r w:rsidR="00E07B0A" w:rsidRPr="008F4074">
        <w:t>McFeature</w:t>
      </w:r>
      <w:proofErr w:type="spellEnd"/>
      <w:r w:rsidR="00E07B0A" w:rsidRPr="008F4074">
        <w:t>, Ph.D.,</w:t>
      </w:r>
      <w:r w:rsidRPr="008F4074">
        <w:t xml:space="preserve"> Kirk </w:t>
      </w:r>
      <w:proofErr w:type="spellStart"/>
      <w:r w:rsidRPr="008F4074">
        <w:t>Strosahl</w:t>
      </w:r>
      <w:proofErr w:type="spellEnd"/>
      <w:r w:rsidRPr="008F4074">
        <w:t>, Ph</w:t>
      </w:r>
      <w:r w:rsidR="00E07B0A" w:rsidRPr="008F4074">
        <w:t>.D.,</w:t>
      </w:r>
      <w:r w:rsidRPr="008F4074">
        <w:t xml:space="preserve"> and Joseph Hyde, LMHC, CAS, </w:t>
      </w:r>
      <w:r w:rsidR="00E07B0A" w:rsidRPr="008F4074">
        <w:t>of Radford University.  The Indiana SBIRT Policy Steering Committee wishes to acknowledge their generous assistance and permission to use their work.</w:t>
      </w:r>
    </w:p>
    <w:p w:rsidR="00381C50" w:rsidRDefault="00381C50" w:rsidP="00B43247">
      <w:pPr>
        <w:rPr>
          <w:sz w:val="24"/>
          <w:szCs w:val="24"/>
        </w:rPr>
      </w:pPr>
    </w:p>
    <w:p w:rsidR="00425F7F" w:rsidRDefault="00425F7F"/>
    <w:p w:rsidR="00425F7F" w:rsidRDefault="00425F7F" w:rsidP="00B43247"/>
    <w:p w:rsidR="0013200C" w:rsidRDefault="009D7D97" w:rsidP="00B43247">
      <w:r>
        <w:t xml:space="preserve">Questions on this page </w:t>
      </w:r>
      <w:r w:rsidR="0013200C">
        <w:t>should</w:t>
      </w:r>
      <w:r w:rsidR="00B43247">
        <w:t xml:space="preserve"> be completed by </w:t>
      </w:r>
      <w:r w:rsidR="00B43247" w:rsidRPr="009D7D97">
        <w:rPr>
          <w:sz w:val="28"/>
          <w:szCs w:val="28"/>
          <w:u w:val="single"/>
        </w:rPr>
        <w:t>CEO or other clinic administrator</w:t>
      </w:r>
      <w:r w:rsidR="00F13B79">
        <w:t xml:space="preserve">.  </w:t>
      </w:r>
      <w:r w:rsidR="0013200C">
        <w:t>After each statement, enter the number indicating how well the statement describes your clinic:</w:t>
      </w:r>
    </w:p>
    <w:p w:rsidR="0013200C" w:rsidRDefault="0013200C" w:rsidP="00B43247"/>
    <w:p w:rsidR="0013200C" w:rsidRDefault="0013200C" w:rsidP="0013200C">
      <w:pPr>
        <w:ind w:left="2160"/>
      </w:pPr>
      <w:r>
        <w:t xml:space="preserve">1 = “This does not really describe us.” </w:t>
      </w:r>
    </w:p>
    <w:p w:rsidR="0013200C" w:rsidRDefault="0013200C" w:rsidP="0013200C">
      <w:pPr>
        <w:ind w:left="2160"/>
      </w:pPr>
      <w:r>
        <w:t>2 = “We are making some progress, but we are not this far along”</w:t>
      </w:r>
    </w:p>
    <w:p w:rsidR="0013200C" w:rsidRDefault="0013200C" w:rsidP="0013200C">
      <w:pPr>
        <w:ind w:left="2160"/>
      </w:pPr>
      <w:r>
        <w:t>3 = “For the most part, this describes us.”</w:t>
      </w:r>
    </w:p>
    <w:p w:rsidR="0013200C" w:rsidRDefault="0013200C" w:rsidP="00B43247"/>
    <w:p w:rsidR="00B43247" w:rsidRDefault="00B43247" w:rsidP="00F13B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Structural Integration of Primary and Behavioral Health Care within the Clinic</w:t>
      </w:r>
    </w:p>
    <w:p w:rsidR="00B43247" w:rsidRDefault="00B43247" w:rsidP="00B43247"/>
    <w:tbl>
      <w:tblPr>
        <w:tblW w:w="9838" w:type="dxa"/>
        <w:tblInd w:w="93" w:type="dxa"/>
        <w:tblLook w:val="04A0" w:firstRow="1" w:lastRow="0" w:firstColumn="1" w:lastColumn="0" w:noHBand="0" w:noVBand="1"/>
      </w:tblPr>
      <w:tblGrid>
        <w:gridCol w:w="416"/>
        <w:gridCol w:w="8849"/>
        <w:gridCol w:w="573"/>
      </w:tblGrid>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1</w:t>
            </w:r>
          </w:p>
        </w:tc>
        <w:tc>
          <w:tcPr>
            <w:tcW w:w="8849" w:type="dxa"/>
            <w:tcBorders>
              <w:top w:val="nil"/>
              <w:left w:val="nil"/>
              <w:bottom w:val="nil"/>
              <w:right w:val="nil"/>
            </w:tcBorders>
            <w:shd w:val="clear" w:color="auto" w:fill="auto"/>
            <w:noWrap/>
            <w:hideMark/>
          </w:tcPr>
          <w:p w:rsidR="00462EE1" w:rsidRDefault="00462EE1" w:rsidP="005F1A4A">
            <w:pPr>
              <w:rPr>
                <w:rFonts w:eastAsia="Times New Roman"/>
                <w:color w:val="000000"/>
              </w:rPr>
            </w:pPr>
            <w:r w:rsidRPr="001A648B">
              <w:rPr>
                <w:rFonts w:eastAsia="Times New Roman"/>
                <w:color w:val="000000"/>
              </w:rPr>
              <w:t xml:space="preserve">The </w:t>
            </w:r>
            <w:r w:rsidR="00F13B79">
              <w:rPr>
                <w:rFonts w:eastAsia="Times New Roman"/>
                <w:color w:val="000000"/>
              </w:rPr>
              <w:t>behavioral health</w:t>
            </w:r>
            <w:r w:rsidRPr="001A648B">
              <w:rPr>
                <w:rFonts w:eastAsia="Times New Roman"/>
                <w:color w:val="000000"/>
              </w:rPr>
              <w:t xml:space="preserve"> </w:t>
            </w:r>
            <w:r w:rsidR="00A06E1B">
              <w:rPr>
                <w:rFonts w:eastAsia="Times New Roman"/>
                <w:color w:val="000000"/>
              </w:rPr>
              <w:t xml:space="preserve">(BH) </w:t>
            </w:r>
            <w:r w:rsidRPr="001A648B">
              <w:rPr>
                <w:rFonts w:eastAsia="Times New Roman"/>
                <w:color w:val="000000"/>
              </w:rPr>
              <w:t xml:space="preserve">provider is located in the exam room area of the clinic and renders a diversity of billable and non-billable services.      </w:t>
            </w:r>
          </w:p>
          <w:p w:rsidR="00462EE1" w:rsidRPr="001A648B" w:rsidRDefault="00462EE1" w:rsidP="005F1A4A">
            <w:pPr>
              <w:rPr>
                <w:rFonts w:eastAsia="Times New Roman"/>
                <w:color w:val="000000"/>
              </w:rPr>
            </w:pPr>
            <w:r w:rsidRPr="001A648B">
              <w:rPr>
                <w:rFonts w:eastAsia="Times New Roman"/>
                <w:color w:val="000000"/>
              </w:rPr>
              <w:t xml:space="preserve">                                                                                               </w:t>
            </w: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C"/>
            </w:r>
          </w:p>
        </w:tc>
      </w:tr>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2</w:t>
            </w:r>
          </w:p>
        </w:tc>
        <w:tc>
          <w:tcPr>
            <w:tcW w:w="8849" w:type="dxa"/>
            <w:tcBorders>
              <w:top w:val="nil"/>
              <w:left w:val="nil"/>
              <w:bottom w:val="nil"/>
              <w:right w:val="nil"/>
            </w:tcBorders>
            <w:shd w:val="clear" w:color="auto" w:fill="auto"/>
            <w:noWrap/>
            <w:hideMark/>
          </w:tcPr>
          <w:p w:rsidR="00462EE1" w:rsidRDefault="00462EE1" w:rsidP="005F1A4A">
            <w:pPr>
              <w:rPr>
                <w:rFonts w:eastAsia="Times New Roman"/>
                <w:color w:val="000000"/>
              </w:rPr>
            </w:pPr>
            <w:r w:rsidRPr="001A648B">
              <w:rPr>
                <w:rFonts w:eastAsia="Times New Roman"/>
                <w:color w:val="000000"/>
              </w:rPr>
              <w:t xml:space="preserve">The clinic has one </w:t>
            </w:r>
            <w:r w:rsidR="0053512F">
              <w:rPr>
                <w:rFonts w:eastAsia="Times New Roman"/>
                <w:color w:val="000000"/>
              </w:rPr>
              <w:t>shared</w:t>
            </w:r>
            <w:r w:rsidRPr="001A648B">
              <w:rPr>
                <w:rFonts w:eastAsia="Times New Roman"/>
                <w:color w:val="000000"/>
              </w:rPr>
              <w:t xml:space="preserve"> system for making both medical and </w:t>
            </w:r>
            <w:r w:rsidR="00A06E1B">
              <w:rPr>
                <w:rFonts w:eastAsia="Times New Roman"/>
                <w:color w:val="000000"/>
              </w:rPr>
              <w:t>BH</w:t>
            </w:r>
            <w:r w:rsidRPr="001A648B">
              <w:rPr>
                <w:rFonts w:eastAsia="Times New Roman"/>
                <w:color w:val="000000"/>
              </w:rPr>
              <w:t xml:space="preserve"> appointments.    </w:t>
            </w:r>
          </w:p>
          <w:p w:rsidR="00462EE1" w:rsidRPr="001A648B" w:rsidRDefault="00462EE1" w:rsidP="005F1A4A">
            <w:pPr>
              <w:rPr>
                <w:rFonts w:eastAsia="Times New Roman"/>
                <w:color w:val="000000"/>
              </w:rPr>
            </w:pPr>
            <w:r w:rsidRPr="001A648B">
              <w:rPr>
                <w:rFonts w:eastAsia="Times New Roman"/>
                <w:color w:val="000000"/>
              </w:rPr>
              <w:t xml:space="preserve"> </w:t>
            </w: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C"/>
            </w:r>
          </w:p>
        </w:tc>
      </w:tr>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3</w:t>
            </w:r>
          </w:p>
        </w:tc>
        <w:tc>
          <w:tcPr>
            <w:tcW w:w="8849" w:type="dxa"/>
            <w:tcBorders>
              <w:top w:val="nil"/>
              <w:left w:val="nil"/>
              <w:bottom w:val="nil"/>
              <w:right w:val="nil"/>
            </w:tcBorders>
            <w:shd w:val="clear" w:color="auto" w:fill="auto"/>
            <w:noWrap/>
            <w:hideMark/>
          </w:tcPr>
          <w:p w:rsidR="00462EE1" w:rsidRDefault="00462EE1" w:rsidP="005F1A4A">
            <w:pPr>
              <w:rPr>
                <w:rFonts w:eastAsia="Times New Roman"/>
                <w:color w:val="000000"/>
              </w:rPr>
            </w:pPr>
            <w:r w:rsidRPr="001A648B">
              <w:rPr>
                <w:rFonts w:eastAsia="Times New Roman"/>
                <w:color w:val="000000"/>
              </w:rPr>
              <w:t>The clinic uses scheduling strategies that allow</w:t>
            </w:r>
            <w:r w:rsidR="0053512F">
              <w:rPr>
                <w:rFonts w:eastAsia="Times New Roman"/>
                <w:color w:val="000000"/>
              </w:rPr>
              <w:t>s</w:t>
            </w:r>
            <w:r w:rsidRPr="001A648B">
              <w:rPr>
                <w:rFonts w:eastAsia="Times New Roman"/>
                <w:color w:val="000000"/>
              </w:rPr>
              <w:t xml:space="preserve"> patients to be seen by the </w:t>
            </w:r>
            <w:r w:rsidR="00A06E1B">
              <w:rPr>
                <w:rFonts w:eastAsia="Times New Roman"/>
                <w:color w:val="000000"/>
              </w:rPr>
              <w:t>BH</w:t>
            </w:r>
            <w:r w:rsidRPr="001A648B">
              <w:rPr>
                <w:rFonts w:eastAsia="Times New Roman"/>
                <w:color w:val="000000"/>
              </w:rPr>
              <w:t xml:space="preserve"> provider during or after a medical visit.</w:t>
            </w:r>
          </w:p>
          <w:p w:rsidR="00462EE1" w:rsidRPr="001A648B" w:rsidRDefault="00462EE1" w:rsidP="005F1A4A">
            <w:pPr>
              <w:rPr>
                <w:rFonts w:eastAsia="Times New Roman"/>
                <w:color w:val="000000"/>
              </w:rPr>
            </w:pP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B"/>
            </w:r>
          </w:p>
        </w:tc>
      </w:tr>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4</w:t>
            </w:r>
          </w:p>
        </w:tc>
        <w:tc>
          <w:tcPr>
            <w:tcW w:w="8849" w:type="dxa"/>
            <w:tcBorders>
              <w:top w:val="nil"/>
              <w:left w:val="nil"/>
              <w:bottom w:val="nil"/>
              <w:right w:val="nil"/>
            </w:tcBorders>
            <w:shd w:val="clear" w:color="auto" w:fill="auto"/>
            <w:noWrap/>
            <w:hideMark/>
          </w:tcPr>
          <w:p w:rsidR="00462EE1" w:rsidRDefault="00462EE1" w:rsidP="005F1A4A">
            <w:pPr>
              <w:rPr>
                <w:rFonts w:eastAsia="Times New Roman"/>
                <w:color w:val="000000"/>
              </w:rPr>
            </w:pPr>
            <w:r w:rsidRPr="001A648B">
              <w:rPr>
                <w:rFonts w:eastAsia="Times New Roman"/>
                <w:color w:val="000000"/>
              </w:rPr>
              <w:t xml:space="preserve">The clinic has a system to schedule </w:t>
            </w:r>
            <w:r w:rsidR="00A06E1B">
              <w:rPr>
                <w:rFonts w:eastAsia="Times New Roman"/>
                <w:color w:val="000000"/>
              </w:rPr>
              <w:t>BH</w:t>
            </w:r>
            <w:r w:rsidRPr="001A648B">
              <w:rPr>
                <w:rFonts w:eastAsia="Times New Roman"/>
                <w:color w:val="000000"/>
              </w:rPr>
              <w:t xml:space="preserve"> visits on the same day as PCP visits per request of the PCP.</w:t>
            </w:r>
          </w:p>
          <w:p w:rsidR="00462EE1" w:rsidRPr="001A648B" w:rsidRDefault="00462EE1" w:rsidP="005F1A4A">
            <w:pPr>
              <w:rPr>
                <w:rFonts w:eastAsia="Times New Roman"/>
                <w:color w:val="000000"/>
              </w:rPr>
            </w:pP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B"/>
            </w:r>
          </w:p>
        </w:tc>
      </w:tr>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5</w:t>
            </w:r>
          </w:p>
        </w:tc>
        <w:tc>
          <w:tcPr>
            <w:tcW w:w="8849" w:type="dxa"/>
            <w:tcBorders>
              <w:top w:val="nil"/>
              <w:left w:val="nil"/>
              <w:bottom w:val="nil"/>
              <w:right w:val="nil"/>
            </w:tcBorders>
            <w:shd w:val="clear" w:color="auto" w:fill="auto"/>
            <w:noWrap/>
            <w:hideMark/>
          </w:tcPr>
          <w:p w:rsidR="00462EE1" w:rsidRDefault="00A06E1B" w:rsidP="005F1A4A">
            <w:pPr>
              <w:rPr>
                <w:rFonts w:eastAsia="Times New Roman"/>
                <w:color w:val="000000"/>
              </w:rPr>
            </w:pPr>
            <w:r>
              <w:rPr>
                <w:rFonts w:eastAsia="Times New Roman"/>
                <w:color w:val="000000"/>
              </w:rPr>
              <w:t>BH</w:t>
            </w:r>
            <w:r w:rsidR="00462EE1" w:rsidRPr="001A648B">
              <w:rPr>
                <w:rFonts w:eastAsia="Times New Roman"/>
                <w:color w:val="000000"/>
              </w:rPr>
              <w:t xml:space="preserve"> provider feedback to PCP clinical notations is placed in the same EHR with PCP clinical </w:t>
            </w:r>
            <w:r w:rsidR="00462EE1">
              <w:rPr>
                <w:rFonts w:eastAsia="Times New Roman"/>
                <w:color w:val="000000"/>
              </w:rPr>
              <w:t>notes</w:t>
            </w:r>
            <w:r w:rsidR="00462EE1" w:rsidRPr="001A648B">
              <w:rPr>
                <w:rFonts w:eastAsia="Times New Roman"/>
                <w:color w:val="000000"/>
              </w:rPr>
              <w:t>.</w:t>
            </w:r>
          </w:p>
          <w:p w:rsidR="00462EE1" w:rsidRPr="001A648B" w:rsidRDefault="00462EE1" w:rsidP="005F1A4A">
            <w:pPr>
              <w:rPr>
                <w:rFonts w:eastAsia="Times New Roman"/>
                <w:color w:val="000000"/>
              </w:rPr>
            </w:pP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C"/>
            </w:r>
          </w:p>
        </w:tc>
      </w:tr>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6</w:t>
            </w:r>
          </w:p>
        </w:tc>
        <w:tc>
          <w:tcPr>
            <w:tcW w:w="8849" w:type="dxa"/>
            <w:tcBorders>
              <w:top w:val="nil"/>
              <w:left w:val="nil"/>
              <w:bottom w:val="nil"/>
              <w:right w:val="nil"/>
            </w:tcBorders>
            <w:shd w:val="clear" w:color="auto" w:fill="auto"/>
            <w:noWrap/>
            <w:hideMark/>
          </w:tcPr>
          <w:p w:rsidR="00462EE1" w:rsidRDefault="00462EE1" w:rsidP="005F1A4A">
            <w:pPr>
              <w:rPr>
                <w:rFonts w:eastAsia="Times New Roman"/>
                <w:color w:val="000000"/>
              </w:rPr>
            </w:pPr>
            <w:r w:rsidRPr="001A648B">
              <w:rPr>
                <w:rFonts w:eastAsia="Times New Roman"/>
                <w:color w:val="000000"/>
              </w:rPr>
              <w:t xml:space="preserve">PCPs </w:t>
            </w:r>
            <w:r w:rsidR="00342466">
              <w:rPr>
                <w:rFonts w:eastAsia="Times New Roman"/>
                <w:color w:val="000000"/>
              </w:rPr>
              <w:t xml:space="preserve">and </w:t>
            </w:r>
            <w:r w:rsidR="00A06E1B">
              <w:rPr>
                <w:rFonts w:eastAsia="Times New Roman"/>
                <w:color w:val="000000"/>
              </w:rPr>
              <w:t>BH</w:t>
            </w:r>
            <w:r w:rsidRPr="001A648B">
              <w:rPr>
                <w:rFonts w:eastAsia="Times New Roman"/>
                <w:color w:val="000000"/>
              </w:rPr>
              <w:t xml:space="preserve"> providers’ </w:t>
            </w:r>
            <w:r w:rsidR="00342466" w:rsidRPr="001A648B">
              <w:rPr>
                <w:rFonts w:eastAsia="Times New Roman"/>
                <w:color w:val="000000"/>
              </w:rPr>
              <w:t xml:space="preserve">can quickly access </w:t>
            </w:r>
            <w:r w:rsidR="00342466">
              <w:rPr>
                <w:rFonts w:eastAsia="Times New Roman"/>
                <w:color w:val="000000"/>
              </w:rPr>
              <w:t xml:space="preserve">each other’s </w:t>
            </w:r>
            <w:r w:rsidRPr="001A648B">
              <w:rPr>
                <w:rFonts w:eastAsia="Times New Roman"/>
                <w:color w:val="000000"/>
              </w:rPr>
              <w:t>schedule information.</w:t>
            </w:r>
          </w:p>
          <w:p w:rsidR="00462EE1" w:rsidRPr="001A648B" w:rsidRDefault="00462EE1" w:rsidP="005F1A4A">
            <w:pPr>
              <w:rPr>
                <w:rFonts w:eastAsia="Times New Roman"/>
                <w:color w:val="000000"/>
              </w:rPr>
            </w:pP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C"/>
            </w:r>
          </w:p>
        </w:tc>
      </w:tr>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7</w:t>
            </w:r>
          </w:p>
        </w:tc>
        <w:tc>
          <w:tcPr>
            <w:tcW w:w="8849" w:type="dxa"/>
            <w:tcBorders>
              <w:top w:val="nil"/>
              <w:left w:val="nil"/>
              <w:bottom w:val="nil"/>
              <w:right w:val="nil"/>
            </w:tcBorders>
            <w:shd w:val="clear" w:color="auto" w:fill="auto"/>
            <w:noWrap/>
            <w:hideMark/>
          </w:tcPr>
          <w:p w:rsidR="00462EE1" w:rsidRPr="001A648B" w:rsidRDefault="00462EE1" w:rsidP="00A06E1B">
            <w:pPr>
              <w:rPr>
                <w:rFonts w:eastAsia="Times New Roman"/>
                <w:color w:val="000000"/>
              </w:rPr>
            </w:pPr>
            <w:r w:rsidRPr="001A648B">
              <w:rPr>
                <w:rFonts w:eastAsia="Times New Roman"/>
                <w:color w:val="000000"/>
              </w:rPr>
              <w:t xml:space="preserve">PCPs can schedule appointments directly into the </w:t>
            </w:r>
            <w:r w:rsidR="00A06E1B">
              <w:rPr>
                <w:rFonts w:eastAsia="Times New Roman"/>
                <w:color w:val="000000"/>
              </w:rPr>
              <w:t>BH provider’s</w:t>
            </w:r>
            <w:r w:rsidRPr="001A648B">
              <w:rPr>
                <w:rFonts w:eastAsia="Times New Roman"/>
                <w:color w:val="000000"/>
              </w:rPr>
              <w:t xml:space="preserve"> schedule.</w:t>
            </w: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C"/>
            </w:r>
          </w:p>
        </w:tc>
      </w:tr>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8</w:t>
            </w:r>
          </w:p>
        </w:tc>
        <w:tc>
          <w:tcPr>
            <w:tcW w:w="8849" w:type="dxa"/>
            <w:tcBorders>
              <w:top w:val="nil"/>
              <w:left w:val="nil"/>
              <w:bottom w:val="nil"/>
              <w:right w:val="nil"/>
            </w:tcBorders>
            <w:shd w:val="clear" w:color="auto" w:fill="auto"/>
            <w:noWrap/>
            <w:hideMark/>
          </w:tcPr>
          <w:p w:rsidR="00462EE1" w:rsidRDefault="00462EE1" w:rsidP="005F1A4A">
            <w:pPr>
              <w:rPr>
                <w:rFonts w:eastAsia="Times New Roman"/>
                <w:color w:val="000000"/>
              </w:rPr>
            </w:pPr>
            <w:r w:rsidRPr="001A648B">
              <w:rPr>
                <w:rFonts w:eastAsia="Times New Roman"/>
                <w:color w:val="000000"/>
              </w:rPr>
              <w:t xml:space="preserve">Administrative staff believe that </w:t>
            </w:r>
            <w:r w:rsidR="0053512F" w:rsidRPr="001A648B">
              <w:rPr>
                <w:rFonts w:eastAsia="Times New Roman"/>
                <w:color w:val="000000"/>
              </w:rPr>
              <w:t xml:space="preserve">scheduling, reception, and medical assistant support </w:t>
            </w:r>
            <w:r w:rsidRPr="001A648B">
              <w:rPr>
                <w:rFonts w:eastAsia="Times New Roman"/>
                <w:color w:val="000000"/>
              </w:rPr>
              <w:t xml:space="preserve">staffing level is adequate for clinic needs for the </w:t>
            </w:r>
            <w:r w:rsidR="00A06E1B">
              <w:rPr>
                <w:rFonts w:eastAsia="Times New Roman"/>
                <w:color w:val="000000"/>
              </w:rPr>
              <w:t>BH</w:t>
            </w:r>
            <w:r w:rsidRPr="001A648B">
              <w:rPr>
                <w:rFonts w:eastAsia="Times New Roman"/>
                <w:color w:val="000000"/>
              </w:rPr>
              <w:t xml:space="preserve"> provider.</w:t>
            </w:r>
          </w:p>
          <w:p w:rsidR="00462EE1" w:rsidRPr="001A648B" w:rsidRDefault="00462EE1" w:rsidP="005F1A4A">
            <w:pPr>
              <w:rPr>
                <w:rFonts w:eastAsia="Times New Roman"/>
                <w:color w:val="000000"/>
              </w:rPr>
            </w:pP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C"/>
            </w:r>
          </w:p>
        </w:tc>
      </w:tr>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9</w:t>
            </w:r>
          </w:p>
        </w:tc>
        <w:tc>
          <w:tcPr>
            <w:tcW w:w="8849" w:type="dxa"/>
            <w:tcBorders>
              <w:top w:val="nil"/>
              <w:left w:val="nil"/>
              <w:bottom w:val="nil"/>
              <w:right w:val="nil"/>
            </w:tcBorders>
            <w:shd w:val="clear" w:color="auto" w:fill="auto"/>
            <w:noWrap/>
            <w:hideMark/>
          </w:tcPr>
          <w:p w:rsidR="00462EE1" w:rsidRDefault="00462EE1" w:rsidP="005F1A4A">
            <w:pPr>
              <w:rPr>
                <w:rFonts w:eastAsia="Times New Roman"/>
                <w:color w:val="000000"/>
              </w:rPr>
            </w:pPr>
            <w:r w:rsidRPr="001A648B">
              <w:rPr>
                <w:rFonts w:eastAsia="Times New Roman"/>
                <w:color w:val="000000"/>
              </w:rPr>
              <w:t xml:space="preserve">The </w:t>
            </w:r>
            <w:r w:rsidR="00A06E1B">
              <w:rPr>
                <w:rFonts w:eastAsia="Times New Roman"/>
                <w:color w:val="000000"/>
              </w:rPr>
              <w:t>BH</w:t>
            </w:r>
            <w:r w:rsidRPr="001A648B">
              <w:rPr>
                <w:rFonts w:eastAsia="Times New Roman"/>
                <w:color w:val="000000"/>
              </w:rPr>
              <w:t xml:space="preserve"> provider has access to the space needed to conduct onsite </w:t>
            </w:r>
            <w:r w:rsidR="00A06E1B">
              <w:rPr>
                <w:rFonts w:eastAsia="Times New Roman"/>
                <w:color w:val="000000"/>
              </w:rPr>
              <w:t>BH</w:t>
            </w:r>
            <w:r w:rsidRPr="001A648B">
              <w:rPr>
                <w:rFonts w:eastAsia="Times New Roman"/>
                <w:color w:val="000000"/>
              </w:rPr>
              <w:t xml:space="preserve"> services, i.e., individual psychological consultation and group intervention appointments.</w:t>
            </w:r>
          </w:p>
          <w:p w:rsidR="00462EE1" w:rsidRPr="001A648B" w:rsidRDefault="00462EE1" w:rsidP="005F1A4A">
            <w:pPr>
              <w:rPr>
                <w:rFonts w:eastAsia="Times New Roman"/>
                <w:color w:val="000000"/>
              </w:rPr>
            </w:pP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C"/>
            </w:r>
          </w:p>
        </w:tc>
      </w:tr>
    </w:tbl>
    <w:p w:rsidR="00462EE1" w:rsidRDefault="00462EE1"/>
    <w:p w:rsidR="00462EE1" w:rsidRDefault="00462EE1" w:rsidP="00F13B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Financial</w:t>
      </w:r>
      <w:r w:rsidRPr="00B43247">
        <w:t xml:space="preserve"> Integration of Primary and Behavioral Health Care within the Clinic</w:t>
      </w:r>
    </w:p>
    <w:p w:rsidR="00462EE1" w:rsidRDefault="00462EE1"/>
    <w:tbl>
      <w:tblPr>
        <w:tblW w:w="9838" w:type="dxa"/>
        <w:tblInd w:w="93" w:type="dxa"/>
        <w:tblLook w:val="04A0" w:firstRow="1" w:lastRow="0" w:firstColumn="1" w:lastColumn="0" w:noHBand="0" w:noVBand="1"/>
      </w:tblPr>
      <w:tblGrid>
        <w:gridCol w:w="416"/>
        <w:gridCol w:w="8849"/>
        <w:gridCol w:w="573"/>
      </w:tblGrid>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10</w:t>
            </w:r>
          </w:p>
        </w:tc>
        <w:tc>
          <w:tcPr>
            <w:tcW w:w="8849" w:type="dxa"/>
            <w:tcBorders>
              <w:top w:val="nil"/>
              <w:left w:val="nil"/>
              <w:bottom w:val="nil"/>
              <w:right w:val="nil"/>
            </w:tcBorders>
            <w:shd w:val="clear" w:color="auto" w:fill="auto"/>
            <w:noWrap/>
            <w:hideMark/>
          </w:tcPr>
          <w:p w:rsidR="00462EE1" w:rsidRDefault="00462EE1" w:rsidP="005F1A4A">
            <w:pPr>
              <w:rPr>
                <w:rFonts w:eastAsia="Times New Roman"/>
                <w:color w:val="000000"/>
              </w:rPr>
            </w:pPr>
            <w:r w:rsidRPr="001A648B">
              <w:rPr>
                <w:rFonts w:eastAsia="Times New Roman"/>
                <w:color w:val="000000"/>
              </w:rPr>
              <w:t xml:space="preserve">The clinic targets specific patient populations for development of pathway programs that target chronic, comorbid, high-risk conditions (e.g., bipolar disorder, prescription drug abuse, diabetes). PCPs refer patients to </w:t>
            </w:r>
            <w:r w:rsidR="00A06E1B">
              <w:rPr>
                <w:rFonts w:eastAsia="Times New Roman"/>
                <w:color w:val="000000"/>
              </w:rPr>
              <w:t>BH</w:t>
            </w:r>
            <w:r w:rsidRPr="001A648B">
              <w:rPr>
                <w:rFonts w:eastAsia="Times New Roman"/>
                <w:color w:val="000000"/>
              </w:rPr>
              <w:t xml:space="preserve"> provider for services within the clinic.</w:t>
            </w:r>
          </w:p>
          <w:p w:rsidR="00462EE1" w:rsidRPr="001A648B" w:rsidRDefault="00462EE1" w:rsidP="005F1A4A">
            <w:pPr>
              <w:rPr>
                <w:rFonts w:eastAsia="Times New Roman"/>
                <w:color w:val="000000"/>
              </w:rPr>
            </w:pP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B"/>
            </w:r>
          </w:p>
        </w:tc>
      </w:tr>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11</w:t>
            </w:r>
          </w:p>
        </w:tc>
        <w:tc>
          <w:tcPr>
            <w:tcW w:w="8849" w:type="dxa"/>
            <w:tcBorders>
              <w:top w:val="nil"/>
              <w:left w:val="nil"/>
              <w:bottom w:val="nil"/>
              <w:right w:val="nil"/>
            </w:tcBorders>
            <w:shd w:val="clear" w:color="auto" w:fill="auto"/>
            <w:noWrap/>
            <w:hideMark/>
          </w:tcPr>
          <w:p w:rsidR="00462EE1" w:rsidRDefault="00462EE1" w:rsidP="005F1A4A">
            <w:pPr>
              <w:rPr>
                <w:rFonts w:eastAsia="Times New Roman"/>
                <w:color w:val="000000"/>
              </w:rPr>
            </w:pPr>
            <w:r w:rsidRPr="001A648B">
              <w:rPr>
                <w:rFonts w:eastAsia="Times New Roman"/>
                <w:color w:val="000000"/>
              </w:rPr>
              <w:t>The clinic establishes target measures (e.g., universal depression and substance use screening will identify target goals for the number of patients screening positive for substance use problems). The clinic reviews HEDIS measure performance standards associated with depression screening (PHQ-2) and substance abuse/dependency screening (PHQ-2, CAGE-AID, AUDIT-C, AUDIT, or DAST10).</w:t>
            </w:r>
          </w:p>
          <w:p w:rsidR="00462EE1" w:rsidRPr="001A648B" w:rsidRDefault="00462EE1" w:rsidP="005F1A4A">
            <w:pPr>
              <w:rPr>
                <w:rFonts w:eastAsia="Times New Roman"/>
                <w:color w:val="000000"/>
              </w:rPr>
            </w:pP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B"/>
            </w:r>
          </w:p>
        </w:tc>
      </w:tr>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12</w:t>
            </w:r>
          </w:p>
        </w:tc>
        <w:tc>
          <w:tcPr>
            <w:tcW w:w="8849" w:type="dxa"/>
            <w:tcBorders>
              <w:top w:val="nil"/>
              <w:left w:val="nil"/>
              <w:bottom w:val="nil"/>
              <w:right w:val="nil"/>
            </w:tcBorders>
            <w:shd w:val="clear" w:color="auto" w:fill="auto"/>
            <w:noWrap/>
            <w:hideMark/>
          </w:tcPr>
          <w:p w:rsidR="00462EE1" w:rsidRDefault="00462EE1" w:rsidP="005F1A4A">
            <w:pPr>
              <w:rPr>
                <w:rFonts w:eastAsia="Times New Roman"/>
                <w:color w:val="000000"/>
              </w:rPr>
            </w:pPr>
            <w:r w:rsidRPr="001A648B">
              <w:rPr>
                <w:rFonts w:eastAsia="Times New Roman"/>
                <w:color w:val="000000"/>
              </w:rPr>
              <w:t>The clinic identifies target goals for the number of patients receiving brief treatment services.</w:t>
            </w:r>
          </w:p>
          <w:p w:rsidR="00462EE1" w:rsidRPr="001A648B" w:rsidRDefault="00462EE1" w:rsidP="005F1A4A">
            <w:pPr>
              <w:rPr>
                <w:rFonts w:eastAsia="Times New Roman"/>
                <w:color w:val="000000"/>
              </w:rPr>
            </w:pP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A"/>
            </w:r>
          </w:p>
        </w:tc>
      </w:tr>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13</w:t>
            </w:r>
          </w:p>
        </w:tc>
        <w:tc>
          <w:tcPr>
            <w:tcW w:w="8849" w:type="dxa"/>
            <w:tcBorders>
              <w:top w:val="nil"/>
              <w:left w:val="nil"/>
              <w:bottom w:val="nil"/>
              <w:right w:val="nil"/>
            </w:tcBorders>
            <w:shd w:val="clear" w:color="auto" w:fill="auto"/>
            <w:noWrap/>
            <w:hideMark/>
          </w:tcPr>
          <w:p w:rsidR="00462EE1" w:rsidRDefault="00462EE1" w:rsidP="005F1A4A">
            <w:pPr>
              <w:rPr>
                <w:rFonts w:eastAsia="Times New Roman"/>
                <w:color w:val="000000"/>
              </w:rPr>
            </w:pPr>
            <w:r w:rsidRPr="001A648B">
              <w:rPr>
                <w:rFonts w:eastAsia="Times New Roman"/>
                <w:color w:val="000000"/>
              </w:rPr>
              <w:t>The clinic reviews outcome data relevant to both medical health (e.g., diabetes, cardiovascular health, respiratory health, tobacco use) and behavioral health (e.g., depression, anxiety, substance use).</w:t>
            </w:r>
          </w:p>
          <w:p w:rsidR="00462EE1" w:rsidRPr="001A648B" w:rsidRDefault="00462EE1" w:rsidP="005F1A4A">
            <w:pPr>
              <w:rPr>
                <w:rFonts w:eastAsia="Times New Roman"/>
                <w:color w:val="000000"/>
              </w:rPr>
            </w:pP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B"/>
            </w:r>
          </w:p>
        </w:tc>
      </w:tr>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14</w:t>
            </w:r>
          </w:p>
        </w:tc>
        <w:tc>
          <w:tcPr>
            <w:tcW w:w="8849" w:type="dxa"/>
            <w:tcBorders>
              <w:top w:val="nil"/>
              <w:left w:val="nil"/>
              <w:bottom w:val="nil"/>
              <w:right w:val="nil"/>
            </w:tcBorders>
            <w:shd w:val="clear" w:color="auto" w:fill="auto"/>
            <w:noWrap/>
            <w:hideMark/>
          </w:tcPr>
          <w:p w:rsidR="00462EE1" w:rsidRDefault="00462EE1" w:rsidP="005F1A4A">
            <w:pPr>
              <w:rPr>
                <w:rFonts w:eastAsia="Times New Roman"/>
                <w:color w:val="000000"/>
              </w:rPr>
            </w:pPr>
            <w:r w:rsidRPr="001A648B">
              <w:rPr>
                <w:rFonts w:eastAsia="Times New Roman"/>
                <w:color w:val="000000"/>
              </w:rPr>
              <w:t xml:space="preserve">The clinic has established </w:t>
            </w:r>
            <w:r w:rsidR="00342466">
              <w:rPr>
                <w:rFonts w:eastAsia="Times New Roman"/>
                <w:color w:val="000000"/>
              </w:rPr>
              <w:t>quality evaluation</w:t>
            </w:r>
            <w:r w:rsidRPr="001A648B">
              <w:rPr>
                <w:rFonts w:eastAsia="Times New Roman"/>
                <w:color w:val="000000"/>
              </w:rPr>
              <w:t xml:space="preserve"> standards for the </w:t>
            </w:r>
            <w:r w:rsidR="00B91A3A">
              <w:rPr>
                <w:rFonts w:eastAsia="Times New Roman"/>
                <w:color w:val="000000"/>
              </w:rPr>
              <w:t>BH</w:t>
            </w:r>
            <w:r w:rsidRPr="001A648B">
              <w:rPr>
                <w:rFonts w:eastAsia="Times New Roman"/>
                <w:color w:val="000000"/>
              </w:rPr>
              <w:t xml:space="preserve"> provider </w:t>
            </w:r>
            <w:r w:rsidR="00342466">
              <w:rPr>
                <w:rFonts w:eastAsia="Times New Roman"/>
                <w:color w:val="000000"/>
              </w:rPr>
              <w:t>that include measuring things like the</w:t>
            </w:r>
            <w:r w:rsidRPr="001A648B">
              <w:rPr>
                <w:rFonts w:eastAsia="Times New Roman"/>
                <w:color w:val="000000"/>
              </w:rPr>
              <w:t xml:space="preserve"> number of patients seen per day</w:t>
            </w:r>
            <w:r w:rsidR="00342466">
              <w:rPr>
                <w:rFonts w:eastAsia="Times New Roman"/>
                <w:color w:val="000000"/>
              </w:rPr>
              <w:t>, number</w:t>
            </w:r>
            <w:r w:rsidRPr="001A648B">
              <w:rPr>
                <w:rFonts w:eastAsia="Times New Roman"/>
                <w:color w:val="000000"/>
              </w:rPr>
              <w:t xml:space="preserve"> of new and esta</w:t>
            </w:r>
            <w:r w:rsidR="00342466">
              <w:rPr>
                <w:rFonts w:eastAsia="Times New Roman"/>
                <w:color w:val="000000"/>
              </w:rPr>
              <w:t>blished patients seen per month, etc.</w:t>
            </w:r>
          </w:p>
          <w:p w:rsidR="00462EE1" w:rsidRPr="001A648B" w:rsidRDefault="00462EE1" w:rsidP="005F1A4A">
            <w:pPr>
              <w:rPr>
                <w:rFonts w:eastAsia="Times New Roman"/>
                <w:color w:val="000000"/>
              </w:rPr>
            </w:pP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A"/>
            </w:r>
          </w:p>
        </w:tc>
      </w:tr>
      <w:tr w:rsidR="00462EE1" w:rsidRPr="001A648B" w:rsidTr="005F1A4A">
        <w:trPr>
          <w:trHeight w:val="288"/>
        </w:trPr>
        <w:tc>
          <w:tcPr>
            <w:tcW w:w="416" w:type="dxa"/>
            <w:tcBorders>
              <w:top w:val="nil"/>
              <w:left w:val="nil"/>
              <w:bottom w:val="nil"/>
              <w:right w:val="nil"/>
            </w:tcBorders>
          </w:tcPr>
          <w:p w:rsidR="00462EE1" w:rsidRPr="001A648B" w:rsidRDefault="00462EE1" w:rsidP="001A648B">
            <w:pPr>
              <w:rPr>
                <w:rFonts w:eastAsia="Times New Roman"/>
                <w:color w:val="000000"/>
              </w:rPr>
            </w:pPr>
            <w:r>
              <w:rPr>
                <w:rFonts w:eastAsia="Times New Roman"/>
                <w:color w:val="000000"/>
              </w:rPr>
              <w:t>15</w:t>
            </w:r>
          </w:p>
        </w:tc>
        <w:tc>
          <w:tcPr>
            <w:tcW w:w="8849" w:type="dxa"/>
            <w:tcBorders>
              <w:top w:val="nil"/>
              <w:left w:val="nil"/>
              <w:bottom w:val="nil"/>
              <w:right w:val="nil"/>
            </w:tcBorders>
            <w:shd w:val="clear" w:color="auto" w:fill="auto"/>
            <w:noWrap/>
            <w:hideMark/>
          </w:tcPr>
          <w:p w:rsidR="00462EE1" w:rsidRPr="001A648B" w:rsidRDefault="00462EE1" w:rsidP="00342466">
            <w:pPr>
              <w:rPr>
                <w:rFonts w:eastAsia="Times New Roman"/>
                <w:color w:val="000000"/>
              </w:rPr>
            </w:pPr>
            <w:r w:rsidRPr="001A648B">
              <w:rPr>
                <w:rFonts w:eastAsia="Times New Roman"/>
                <w:color w:val="000000"/>
              </w:rPr>
              <w:t>The clinic</w:t>
            </w:r>
            <w:r w:rsidR="00342466">
              <w:rPr>
                <w:rFonts w:eastAsia="Times New Roman"/>
                <w:color w:val="000000"/>
              </w:rPr>
              <w:t xml:space="preserve"> administration</w:t>
            </w:r>
            <w:r w:rsidRPr="001A648B">
              <w:rPr>
                <w:rFonts w:eastAsia="Times New Roman"/>
                <w:color w:val="000000"/>
              </w:rPr>
              <w:t xml:space="preserve"> uses a </w:t>
            </w:r>
            <w:r w:rsidR="00342466">
              <w:rPr>
                <w:rFonts w:eastAsia="Times New Roman"/>
                <w:color w:val="000000"/>
              </w:rPr>
              <w:t>t</w:t>
            </w:r>
            <w:r w:rsidRPr="001A648B">
              <w:rPr>
                <w:rFonts w:eastAsia="Times New Roman"/>
                <w:color w:val="000000"/>
              </w:rPr>
              <w:t xml:space="preserve">eam </w:t>
            </w:r>
            <w:r w:rsidR="00342466">
              <w:rPr>
                <w:rFonts w:eastAsia="Times New Roman"/>
                <w:color w:val="000000"/>
              </w:rPr>
              <w:t>a</w:t>
            </w:r>
            <w:r w:rsidRPr="001A648B">
              <w:rPr>
                <w:rFonts w:eastAsia="Times New Roman"/>
                <w:color w:val="000000"/>
              </w:rPr>
              <w:t>pproach</w:t>
            </w:r>
            <w:r w:rsidR="00B91A3A">
              <w:rPr>
                <w:rFonts w:eastAsia="Times New Roman"/>
                <w:color w:val="000000"/>
              </w:rPr>
              <w:t xml:space="preserve"> </w:t>
            </w:r>
            <w:r w:rsidRPr="001A648B">
              <w:rPr>
                <w:rFonts w:eastAsia="Times New Roman"/>
                <w:color w:val="000000"/>
              </w:rPr>
              <w:t xml:space="preserve">involving medical director, behavioral health director, nursing director, chief financial officer/chief operations officer. </w:t>
            </w:r>
            <w:r w:rsidR="00342466">
              <w:rPr>
                <w:rFonts w:eastAsia="Times New Roman"/>
                <w:color w:val="000000"/>
              </w:rPr>
              <w:t>This team reviews integrated</w:t>
            </w:r>
            <w:r w:rsidRPr="001A648B">
              <w:rPr>
                <w:rFonts w:eastAsia="Times New Roman"/>
                <w:color w:val="000000"/>
              </w:rPr>
              <w:t xml:space="preserve"> care data relevant to billing/reimbursement </w:t>
            </w:r>
            <w:r w:rsidR="00342466">
              <w:rPr>
                <w:rFonts w:eastAsia="Times New Roman"/>
                <w:color w:val="000000"/>
              </w:rPr>
              <w:t>and</w:t>
            </w:r>
            <w:r w:rsidRPr="001A648B">
              <w:rPr>
                <w:rFonts w:eastAsia="Times New Roman"/>
                <w:color w:val="000000"/>
              </w:rPr>
              <w:t xml:space="preserve"> daily clinic flow practices.</w:t>
            </w:r>
          </w:p>
        </w:tc>
        <w:tc>
          <w:tcPr>
            <w:tcW w:w="573" w:type="dxa"/>
            <w:tcBorders>
              <w:top w:val="nil"/>
              <w:left w:val="nil"/>
              <w:bottom w:val="nil"/>
              <w:right w:val="nil"/>
            </w:tcBorders>
          </w:tcPr>
          <w:p w:rsidR="00462EE1" w:rsidRPr="00462EE1" w:rsidRDefault="00FF328B" w:rsidP="00E93FB0">
            <w:pPr>
              <w:rPr>
                <w:rFonts w:eastAsia="Times New Roman"/>
                <w:color w:val="000000"/>
                <w:sz w:val="40"/>
                <w:szCs w:val="40"/>
              </w:rPr>
            </w:pPr>
            <w:r>
              <w:rPr>
                <w:rFonts w:eastAsia="Times New Roman"/>
                <w:color w:val="000000"/>
                <w:sz w:val="40"/>
                <w:szCs w:val="40"/>
              </w:rPr>
              <w:sym w:font="Wingdings 2" w:char="F06B"/>
            </w:r>
          </w:p>
        </w:tc>
      </w:tr>
    </w:tbl>
    <w:p w:rsidR="00091761" w:rsidRDefault="00091761"/>
    <w:p w:rsidR="00F13B79" w:rsidRDefault="00F13B79" w:rsidP="0013200C"/>
    <w:p w:rsidR="00342466" w:rsidRDefault="00342466" w:rsidP="0013200C"/>
    <w:p w:rsidR="00342466" w:rsidRDefault="00342466" w:rsidP="0013200C"/>
    <w:p w:rsidR="0013200C" w:rsidRDefault="0013200C" w:rsidP="0013200C">
      <w:r>
        <w:t xml:space="preserve">Questions on this page should be completed by </w:t>
      </w:r>
      <w:r w:rsidRPr="00342466">
        <w:rPr>
          <w:sz w:val="28"/>
          <w:szCs w:val="28"/>
          <w:u w:val="single"/>
        </w:rPr>
        <w:t>Medical Director or other Care Provider</w:t>
      </w:r>
      <w:r w:rsidR="00342466" w:rsidRPr="00342466">
        <w:rPr>
          <w:sz w:val="28"/>
          <w:szCs w:val="28"/>
          <w:u w:val="single"/>
        </w:rPr>
        <w:t xml:space="preserve"> (Primary </w:t>
      </w:r>
      <w:r w:rsidR="00CA1EC6">
        <w:rPr>
          <w:sz w:val="28"/>
          <w:szCs w:val="28"/>
          <w:u w:val="single"/>
        </w:rPr>
        <w:t>and/</w:t>
      </w:r>
      <w:r w:rsidR="00342466" w:rsidRPr="00342466">
        <w:rPr>
          <w:sz w:val="28"/>
          <w:szCs w:val="28"/>
          <w:u w:val="single"/>
        </w:rPr>
        <w:t>or Behavioral Health)</w:t>
      </w:r>
      <w:r w:rsidR="00342466">
        <w:t xml:space="preserve">.  </w:t>
      </w:r>
      <w:r>
        <w:t>After each statement, enter the number indicating how well the statement describes your clinic:</w:t>
      </w:r>
    </w:p>
    <w:p w:rsidR="0013200C" w:rsidRDefault="0013200C" w:rsidP="0013200C"/>
    <w:p w:rsidR="0013200C" w:rsidRDefault="0013200C" w:rsidP="0013200C">
      <w:pPr>
        <w:ind w:left="2160"/>
      </w:pPr>
      <w:r>
        <w:t xml:space="preserve">1 = “This does not really describe us.” </w:t>
      </w:r>
    </w:p>
    <w:p w:rsidR="0013200C" w:rsidRDefault="0013200C" w:rsidP="0013200C">
      <w:pPr>
        <w:ind w:left="2160"/>
      </w:pPr>
      <w:r>
        <w:t>2 = “We are making some progress, but we are not this far along”</w:t>
      </w:r>
    </w:p>
    <w:p w:rsidR="0013200C" w:rsidRDefault="0013200C" w:rsidP="0013200C">
      <w:pPr>
        <w:ind w:left="2160"/>
      </w:pPr>
      <w:r>
        <w:t>3 = “For the most part, this describes us.”</w:t>
      </w:r>
    </w:p>
    <w:p w:rsidR="0013200C" w:rsidRDefault="0013200C" w:rsidP="0013200C"/>
    <w:p w:rsidR="0013200C" w:rsidRDefault="0013200C" w:rsidP="00F13B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Communication Pathways</w:t>
      </w:r>
    </w:p>
    <w:p w:rsidR="0013200C" w:rsidRDefault="0013200C" w:rsidP="0013200C">
      <w:pPr>
        <w:jc w:val="center"/>
      </w:pPr>
    </w:p>
    <w:tbl>
      <w:tblPr>
        <w:tblW w:w="10077" w:type="dxa"/>
        <w:tblInd w:w="93" w:type="dxa"/>
        <w:tblLook w:val="04A0" w:firstRow="1" w:lastRow="0" w:firstColumn="1" w:lastColumn="0" w:noHBand="0" w:noVBand="1"/>
      </w:tblPr>
      <w:tblGrid>
        <w:gridCol w:w="465"/>
        <w:gridCol w:w="9039"/>
        <w:gridCol w:w="573"/>
      </w:tblGrid>
      <w:tr w:rsidR="0019492B" w:rsidRPr="0019492B" w:rsidTr="005F1A4A">
        <w:trPr>
          <w:trHeight w:val="288"/>
        </w:trPr>
        <w:tc>
          <w:tcPr>
            <w:tcW w:w="465" w:type="dxa"/>
            <w:tcBorders>
              <w:top w:val="nil"/>
              <w:left w:val="nil"/>
              <w:bottom w:val="nil"/>
              <w:right w:val="nil"/>
            </w:tcBorders>
          </w:tcPr>
          <w:p w:rsidR="0019492B" w:rsidRPr="0019492B" w:rsidRDefault="0019492B" w:rsidP="0019492B">
            <w:pPr>
              <w:rPr>
                <w:rFonts w:eastAsia="Times New Roman"/>
                <w:color w:val="000000"/>
              </w:rPr>
            </w:pPr>
            <w:r>
              <w:rPr>
                <w:rFonts w:eastAsia="Times New Roman"/>
                <w:color w:val="000000"/>
              </w:rPr>
              <w:t>1</w:t>
            </w:r>
          </w:p>
        </w:tc>
        <w:tc>
          <w:tcPr>
            <w:tcW w:w="9039" w:type="dxa"/>
            <w:tcBorders>
              <w:top w:val="nil"/>
              <w:left w:val="nil"/>
              <w:bottom w:val="nil"/>
              <w:right w:val="nil"/>
            </w:tcBorders>
            <w:shd w:val="clear" w:color="auto" w:fill="auto"/>
            <w:noWrap/>
            <w:hideMark/>
          </w:tcPr>
          <w:p w:rsidR="0019492B" w:rsidRDefault="0019492B" w:rsidP="005F1A4A">
            <w:pPr>
              <w:rPr>
                <w:rFonts w:eastAsia="Times New Roman"/>
                <w:color w:val="000000"/>
              </w:rPr>
            </w:pPr>
            <w:r w:rsidRPr="0019492B">
              <w:rPr>
                <w:rFonts w:eastAsia="Times New Roman"/>
                <w:color w:val="000000"/>
              </w:rPr>
              <w:t xml:space="preserve">Prior to or during exams, patients are routinely screened for behavioral health </w:t>
            </w:r>
            <w:r w:rsidR="00A06E1B">
              <w:rPr>
                <w:rFonts w:eastAsia="Times New Roman"/>
                <w:color w:val="000000"/>
              </w:rPr>
              <w:t xml:space="preserve">(BH) </w:t>
            </w:r>
            <w:r w:rsidRPr="0019492B">
              <w:rPr>
                <w:rFonts w:eastAsia="Times New Roman"/>
                <w:color w:val="000000"/>
              </w:rPr>
              <w:t>problems, such as depression, anxiety, and substance use issues.</w:t>
            </w:r>
          </w:p>
          <w:p w:rsidR="005F1A4A" w:rsidRPr="0019492B" w:rsidRDefault="005F1A4A" w:rsidP="005F1A4A">
            <w:pPr>
              <w:rPr>
                <w:rFonts w:eastAsia="Times New Roman"/>
                <w:color w:val="000000"/>
              </w:rPr>
            </w:pPr>
          </w:p>
        </w:tc>
        <w:tc>
          <w:tcPr>
            <w:tcW w:w="573" w:type="dxa"/>
            <w:tcBorders>
              <w:top w:val="nil"/>
              <w:left w:val="nil"/>
              <w:bottom w:val="nil"/>
              <w:right w:val="nil"/>
            </w:tcBorders>
          </w:tcPr>
          <w:p w:rsidR="0019492B" w:rsidRPr="00462EE1" w:rsidRDefault="003F4136" w:rsidP="00E93FB0">
            <w:pPr>
              <w:rPr>
                <w:rFonts w:eastAsia="Times New Roman"/>
                <w:color w:val="000000"/>
                <w:sz w:val="40"/>
                <w:szCs w:val="40"/>
              </w:rPr>
            </w:pPr>
            <w:r>
              <w:rPr>
                <w:rFonts w:eastAsia="Times New Roman"/>
                <w:color w:val="000000"/>
                <w:sz w:val="40"/>
                <w:szCs w:val="40"/>
              </w:rPr>
              <w:sym w:font="Wingdings 2" w:char="F06B"/>
            </w:r>
          </w:p>
        </w:tc>
      </w:tr>
      <w:tr w:rsidR="0019492B" w:rsidRPr="0019492B" w:rsidTr="005F1A4A">
        <w:trPr>
          <w:trHeight w:val="288"/>
        </w:trPr>
        <w:tc>
          <w:tcPr>
            <w:tcW w:w="465" w:type="dxa"/>
            <w:tcBorders>
              <w:top w:val="nil"/>
              <w:left w:val="nil"/>
              <w:bottom w:val="nil"/>
              <w:right w:val="nil"/>
            </w:tcBorders>
          </w:tcPr>
          <w:p w:rsidR="0019492B" w:rsidRPr="0019492B" w:rsidRDefault="0019492B" w:rsidP="0019492B">
            <w:pPr>
              <w:rPr>
                <w:rFonts w:eastAsia="Times New Roman"/>
                <w:color w:val="000000"/>
              </w:rPr>
            </w:pPr>
            <w:r>
              <w:rPr>
                <w:rFonts w:eastAsia="Times New Roman"/>
                <w:color w:val="000000"/>
              </w:rPr>
              <w:t>2</w:t>
            </w:r>
          </w:p>
        </w:tc>
        <w:tc>
          <w:tcPr>
            <w:tcW w:w="9039" w:type="dxa"/>
            <w:tcBorders>
              <w:top w:val="nil"/>
              <w:left w:val="nil"/>
              <w:bottom w:val="nil"/>
              <w:right w:val="nil"/>
            </w:tcBorders>
            <w:shd w:val="clear" w:color="auto" w:fill="auto"/>
            <w:noWrap/>
            <w:hideMark/>
          </w:tcPr>
          <w:p w:rsidR="0019492B" w:rsidRDefault="0019492B" w:rsidP="005F1A4A">
            <w:pPr>
              <w:rPr>
                <w:rFonts w:eastAsia="Times New Roman"/>
                <w:color w:val="000000"/>
              </w:rPr>
            </w:pPr>
            <w:r w:rsidRPr="0019492B">
              <w:rPr>
                <w:rFonts w:eastAsia="Times New Roman"/>
                <w:color w:val="000000"/>
              </w:rPr>
              <w:t xml:space="preserve">All members of the primary care team understand the role of the </w:t>
            </w:r>
            <w:r w:rsidR="00A06E1B">
              <w:rPr>
                <w:rFonts w:eastAsia="Times New Roman"/>
                <w:color w:val="000000"/>
              </w:rPr>
              <w:t>BH</w:t>
            </w:r>
            <w:r w:rsidRPr="0019492B">
              <w:rPr>
                <w:rFonts w:eastAsia="Times New Roman"/>
                <w:color w:val="000000"/>
              </w:rPr>
              <w:t xml:space="preserve"> provider and how to use this </w:t>
            </w:r>
            <w:r w:rsidR="00A06E1B">
              <w:rPr>
                <w:rFonts w:eastAsia="Times New Roman"/>
                <w:color w:val="000000"/>
              </w:rPr>
              <w:t>BH</w:t>
            </w:r>
            <w:r w:rsidRPr="0019492B">
              <w:rPr>
                <w:rFonts w:eastAsia="Times New Roman"/>
                <w:color w:val="000000"/>
              </w:rPr>
              <w:t xml:space="preserve"> specialty.</w:t>
            </w:r>
          </w:p>
          <w:p w:rsidR="005F1A4A" w:rsidRPr="0019492B" w:rsidRDefault="005F1A4A" w:rsidP="005F1A4A">
            <w:pPr>
              <w:rPr>
                <w:rFonts w:eastAsia="Times New Roman"/>
                <w:color w:val="000000"/>
              </w:rPr>
            </w:pPr>
          </w:p>
        </w:tc>
        <w:tc>
          <w:tcPr>
            <w:tcW w:w="573" w:type="dxa"/>
            <w:tcBorders>
              <w:top w:val="nil"/>
              <w:left w:val="nil"/>
              <w:bottom w:val="nil"/>
              <w:right w:val="nil"/>
            </w:tcBorders>
          </w:tcPr>
          <w:p w:rsidR="0019492B" w:rsidRPr="00462EE1" w:rsidRDefault="003F4136" w:rsidP="00E93FB0">
            <w:pPr>
              <w:rPr>
                <w:rFonts w:eastAsia="Times New Roman"/>
                <w:color w:val="000000"/>
                <w:sz w:val="40"/>
                <w:szCs w:val="40"/>
              </w:rPr>
            </w:pPr>
            <w:r>
              <w:rPr>
                <w:rFonts w:eastAsia="Times New Roman"/>
                <w:color w:val="000000"/>
                <w:sz w:val="40"/>
                <w:szCs w:val="40"/>
              </w:rPr>
              <w:sym w:font="Wingdings 2" w:char="F06C"/>
            </w:r>
          </w:p>
        </w:tc>
      </w:tr>
      <w:tr w:rsidR="0019492B" w:rsidRPr="0019492B" w:rsidTr="005F1A4A">
        <w:trPr>
          <w:trHeight w:val="288"/>
        </w:trPr>
        <w:tc>
          <w:tcPr>
            <w:tcW w:w="465" w:type="dxa"/>
            <w:tcBorders>
              <w:top w:val="nil"/>
              <w:left w:val="nil"/>
              <w:bottom w:val="nil"/>
              <w:right w:val="nil"/>
            </w:tcBorders>
          </w:tcPr>
          <w:p w:rsidR="0019492B" w:rsidRPr="0019492B" w:rsidRDefault="0019492B" w:rsidP="0019492B">
            <w:pPr>
              <w:rPr>
                <w:rFonts w:eastAsia="Times New Roman"/>
                <w:color w:val="000000"/>
              </w:rPr>
            </w:pPr>
            <w:r>
              <w:rPr>
                <w:rFonts w:eastAsia="Times New Roman"/>
                <w:color w:val="000000"/>
              </w:rPr>
              <w:t>3</w:t>
            </w:r>
          </w:p>
        </w:tc>
        <w:tc>
          <w:tcPr>
            <w:tcW w:w="9039" w:type="dxa"/>
            <w:tcBorders>
              <w:top w:val="nil"/>
              <w:left w:val="nil"/>
              <w:bottom w:val="nil"/>
              <w:right w:val="nil"/>
            </w:tcBorders>
            <w:shd w:val="clear" w:color="auto" w:fill="auto"/>
            <w:noWrap/>
            <w:hideMark/>
          </w:tcPr>
          <w:p w:rsidR="0019492B" w:rsidRPr="0019492B" w:rsidRDefault="0019492B" w:rsidP="00A06E1B">
            <w:pPr>
              <w:rPr>
                <w:rFonts w:eastAsia="Times New Roman"/>
                <w:color w:val="000000"/>
              </w:rPr>
            </w:pPr>
            <w:r w:rsidRPr="0019492B">
              <w:rPr>
                <w:rFonts w:eastAsia="Times New Roman"/>
                <w:color w:val="000000"/>
              </w:rPr>
              <w:t xml:space="preserve">PCPs ask the </w:t>
            </w:r>
            <w:r w:rsidR="00A06E1B">
              <w:rPr>
                <w:rFonts w:eastAsia="Times New Roman"/>
                <w:color w:val="000000"/>
              </w:rPr>
              <w:t>BH</w:t>
            </w:r>
            <w:r w:rsidRPr="0019492B">
              <w:rPr>
                <w:rFonts w:eastAsia="Times New Roman"/>
                <w:color w:val="000000"/>
              </w:rPr>
              <w:t xml:space="preserve"> provider to co-consult during exam room visits.</w:t>
            </w:r>
          </w:p>
        </w:tc>
        <w:tc>
          <w:tcPr>
            <w:tcW w:w="573" w:type="dxa"/>
            <w:tcBorders>
              <w:top w:val="nil"/>
              <w:left w:val="nil"/>
              <w:bottom w:val="nil"/>
              <w:right w:val="nil"/>
            </w:tcBorders>
          </w:tcPr>
          <w:p w:rsidR="0019492B" w:rsidRPr="00462EE1" w:rsidRDefault="003F4136" w:rsidP="00E93FB0">
            <w:pPr>
              <w:rPr>
                <w:rFonts w:eastAsia="Times New Roman"/>
                <w:color w:val="000000"/>
                <w:sz w:val="40"/>
                <w:szCs w:val="40"/>
              </w:rPr>
            </w:pPr>
            <w:r>
              <w:rPr>
                <w:rFonts w:eastAsia="Times New Roman"/>
                <w:color w:val="000000"/>
                <w:sz w:val="40"/>
                <w:szCs w:val="40"/>
              </w:rPr>
              <w:sym w:font="Wingdings 2" w:char="F06B"/>
            </w:r>
          </w:p>
        </w:tc>
      </w:tr>
      <w:tr w:rsidR="0019492B" w:rsidRPr="0019492B" w:rsidTr="005F1A4A">
        <w:trPr>
          <w:trHeight w:val="288"/>
        </w:trPr>
        <w:tc>
          <w:tcPr>
            <w:tcW w:w="465" w:type="dxa"/>
            <w:tcBorders>
              <w:top w:val="nil"/>
              <w:left w:val="nil"/>
              <w:bottom w:val="nil"/>
              <w:right w:val="nil"/>
            </w:tcBorders>
          </w:tcPr>
          <w:p w:rsidR="0019492B" w:rsidRPr="0019492B" w:rsidRDefault="0019492B" w:rsidP="0019492B">
            <w:pPr>
              <w:rPr>
                <w:rFonts w:eastAsia="Times New Roman"/>
                <w:color w:val="000000"/>
              </w:rPr>
            </w:pPr>
            <w:r>
              <w:rPr>
                <w:rFonts w:eastAsia="Times New Roman"/>
                <w:color w:val="000000"/>
              </w:rPr>
              <w:t>4</w:t>
            </w:r>
          </w:p>
        </w:tc>
        <w:tc>
          <w:tcPr>
            <w:tcW w:w="9039" w:type="dxa"/>
            <w:tcBorders>
              <w:top w:val="nil"/>
              <w:left w:val="nil"/>
              <w:bottom w:val="nil"/>
              <w:right w:val="nil"/>
            </w:tcBorders>
            <w:shd w:val="clear" w:color="auto" w:fill="auto"/>
            <w:noWrap/>
            <w:hideMark/>
          </w:tcPr>
          <w:p w:rsidR="0019492B" w:rsidRDefault="0019492B" w:rsidP="005F1A4A">
            <w:pPr>
              <w:rPr>
                <w:rFonts w:eastAsia="Times New Roman"/>
                <w:color w:val="000000"/>
              </w:rPr>
            </w:pPr>
            <w:r w:rsidRPr="0019492B">
              <w:rPr>
                <w:rFonts w:eastAsia="Times New Roman"/>
                <w:color w:val="000000"/>
              </w:rPr>
              <w:t xml:space="preserve">A system is used for PCPs to contact the </w:t>
            </w:r>
            <w:r w:rsidR="00A06E1B">
              <w:rPr>
                <w:rFonts w:eastAsia="Times New Roman"/>
                <w:color w:val="000000"/>
              </w:rPr>
              <w:t>BH</w:t>
            </w:r>
            <w:r w:rsidRPr="0019492B">
              <w:rPr>
                <w:rFonts w:eastAsia="Times New Roman"/>
                <w:color w:val="000000"/>
              </w:rPr>
              <w:t xml:space="preserve"> provider during working hours for “warm handoff” consults.</w:t>
            </w:r>
          </w:p>
          <w:p w:rsidR="005F1A4A" w:rsidRPr="0019492B" w:rsidRDefault="005F1A4A" w:rsidP="005F1A4A">
            <w:pPr>
              <w:rPr>
                <w:rFonts w:eastAsia="Times New Roman"/>
                <w:color w:val="000000"/>
              </w:rPr>
            </w:pPr>
          </w:p>
        </w:tc>
        <w:tc>
          <w:tcPr>
            <w:tcW w:w="573" w:type="dxa"/>
            <w:tcBorders>
              <w:top w:val="nil"/>
              <w:left w:val="nil"/>
              <w:bottom w:val="nil"/>
              <w:right w:val="nil"/>
            </w:tcBorders>
          </w:tcPr>
          <w:p w:rsidR="0019492B" w:rsidRPr="00462EE1" w:rsidRDefault="003F4136" w:rsidP="00E93FB0">
            <w:pPr>
              <w:rPr>
                <w:rFonts w:eastAsia="Times New Roman"/>
                <w:color w:val="000000"/>
                <w:sz w:val="40"/>
                <w:szCs w:val="40"/>
              </w:rPr>
            </w:pPr>
            <w:r>
              <w:rPr>
                <w:rFonts w:eastAsia="Times New Roman"/>
                <w:color w:val="000000"/>
                <w:sz w:val="40"/>
                <w:szCs w:val="40"/>
              </w:rPr>
              <w:sym w:font="Wingdings 2" w:char="F06B"/>
            </w:r>
          </w:p>
        </w:tc>
      </w:tr>
      <w:tr w:rsidR="0019492B" w:rsidRPr="0019492B" w:rsidTr="005F1A4A">
        <w:trPr>
          <w:trHeight w:val="288"/>
        </w:trPr>
        <w:tc>
          <w:tcPr>
            <w:tcW w:w="465" w:type="dxa"/>
            <w:tcBorders>
              <w:top w:val="nil"/>
              <w:left w:val="nil"/>
              <w:bottom w:val="nil"/>
              <w:right w:val="nil"/>
            </w:tcBorders>
          </w:tcPr>
          <w:p w:rsidR="0019492B" w:rsidRPr="0019492B" w:rsidRDefault="0019492B" w:rsidP="0019492B">
            <w:pPr>
              <w:rPr>
                <w:rFonts w:eastAsia="Times New Roman"/>
                <w:color w:val="000000"/>
              </w:rPr>
            </w:pPr>
            <w:r>
              <w:rPr>
                <w:rFonts w:eastAsia="Times New Roman"/>
                <w:color w:val="000000"/>
              </w:rPr>
              <w:t>5</w:t>
            </w:r>
          </w:p>
        </w:tc>
        <w:tc>
          <w:tcPr>
            <w:tcW w:w="9039" w:type="dxa"/>
            <w:tcBorders>
              <w:top w:val="nil"/>
              <w:left w:val="nil"/>
              <w:bottom w:val="nil"/>
              <w:right w:val="nil"/>
            </w:tcBorders>
            <w:shd w:val="clear" w:color="auto" w:fill="auto"/>
            <w:noWrap/>
            <w:hideMark/>
          </w:tcPr>
          <w:p w:rsidR="0019492B" w:rsidRDefault="0019492B" w:rsidP="005F1A4A">
            <w:pPr>
              <w:rPr>
                <w:rFonts w:eastAsia="Times New Roman"/>
                <w:color w:val="000000"/>
              </w:rPr>
            </w:pPr>
            <w:r w:rsidRPr="0019492B">
              <w:rPr>
                <w:rFonts w:eastAsia="Times New Roman"/>
                <w:color w:val="000000"/>
              </w:rPr>
              <w:t xml:space="preserve">PCPs routinely discuss patient care issues with the </w:t>
            </w:r>
            <w:r w:rsidR="00A06E1B">
              <w:rPr>
                <w:rFonts w:eastAsia="Times New Roman"/>
                <w:color w:val="000000"/>
              </w:rPr>
              <w:t>BH</w:t>
            </w:r>
            <w:r w:rsidRPr="0019492B">
              <w:rPr>
                <w:rFonts w:eastAsia="Times New Roman"/>
                <w:color w:val="000000"/>
              </w:rPr>
              <w:t xml:space="preserve"> provider </w:t>
            </w:r>
            <w:r w:rsidR="00A06E1B">
              <w:rPr>
                <w:rFonts w:eastAsia="Times New Roman"/>
                <w:color w:val="000000"/>
              </w:rPr>
              <w:t>before</w:t>
            </w:r>
            <w:r w:rsidRPr="0019492B">
              <w:rPr>
                <w:rFonts w:eastAsia="Times New Roman"/>
                <w:color w:val="000000"/>
              </w:rPr>
              <w:t xml:space="preserve"> and after same-day warm handoff.</w:t>
            </w:r>
          </w:p>
          <w:p w:rsidR="005F1A4A" w:rsidRPr="0019492B" w:rsidRDefault="005F1A4A" w:rsidP="005F1A4A">
            <w:pPr>
              <w:rPr>
                <w:rFonts w:eastAsia="Times New Roman"/>
                <w:color w:val="000000"/>
              </w:rPr>
            </w:pPr>
          </w:p>
        </w:tc>
        <w:tc>
          <w:tcPr>
            <w:tcW w:w="573" w:type="dxa"/>
            <w:tcBorders>
              <w:top w:val="nil"/>
              <w:left w:val="nil"/>
              <w:bottom w:val="nil"/>
              <w:right w:val="nil"/>
            </w:tcBorders>
          </w:tcPr>
          <w:p w:rsidR="0019492B" w:rsidRPr="00462EE1" w:rsidRDefault="003F4136" w:rsidP="00E93FB0">
            <w:pPr>
              <w:rPr>
                <w:rFonts w:eastAsia="Times New Roman"/>
                <w:color w:val="000000"/>
                <w:sz w:val="40"/>
                <w:szCs w:val="40"/>
              </w:rPr>
            </w:pPr>
            <w:r>
              <w:rPr>
                <w:rFonts w:eastAsia="Times New Roman"/>
                <w:color w:val="000000"/>
                <w:sz w:val="40"/>
                <w:szCs w:val="40"/>
              </w:rPr>
              <w:sym w:font="Wingdings 2" w:char="F06B"/>
            </w:r>
          </w:p>
        </w:tc>
      </w:tr>
      <w:tr w:rsidR="0019492B" w:rsidRPr="0019492B" w:rsidTr="005F1A4A">
        <w:trPr>
          <w:trHeight w:val="288"/>
        </w:trPr>
        <w:tc>
          <w:tcPr>
            <w:tcW w:w="465" w:type="dxa"/>
            <w:tcBorders>
              <w:top w:val="nil"/>
              <w:left w:val="nil"/>
              <w:bottom w:val="nil"/>
              <w:right w:val="nil"/>
            </w:tcBorders>
          </w:tcPr>
          <w:p w:rsidR="0019492B" w:rsidRPr="0019492B" w:rsidRDefault="0019492B" w:rsidP="0019492B">
            <w:pPr>
              <w:rPr>
                <w:rFonts w:eastAsia="Times New Roman"/>
                <w:color w:val="000000"/>
              </w:rPr>
            </w:pPr>
            <w:r>
              <w:rPr>
                <w:rFonts w:eastAsia="Times New Roman"/>
                <w:color w:val="000000"/>
              </w:rPr>
              <w:t>6</w:t>
            </w:r>
          </w:p>
        </w:tc>
        <w:tc>
          <w:tcPr>
            <w:tcW w:w="9039" w:type="dxa"/>
            <w:tcBorders>
              <w:top w:val="nil"/>
              <w:left w:val="nil"/>
              <w:bottom w:val="nil"/>
              <w:right w:val="nil"/>
            </w:tcBorders>
            <w:shd w:val="clear" w:color="auto" w:fill="auto"/>
            <w:noWrap/>
            <w:hideMark/>
          </w:tcPr>
          <w:p w:rsidR="0019492B" w:rsidRDefault="0019492B" w:rsidP="005F1A4A">
            <w:pPr>
              <w:rPr>
                <w:rFonts w:eastAsia="Times New Roman"/>
                <w:color w:val="000000"/>
              </w:rPr>
            </w:pPr>
            <w:r w:rsidRPr="0019492B">
              <w:rPr>
                <w:rFonts w:eastAsia="Times New Roman"/>
                <w:color w:val="000000"/>
              </w:rPr>
              <w:t xml:space="preserve">PCPs request advice/consultation/intervention from the </w:t>
            </w:r>
            <w:r w:rsidR="00A06E1B">
              <w:rPr>
                <w:rFonts w:eastAsia="Times New Roman"/>
                <w:color w:val="000000"/>
              </w:rPr>
              <w:t>BH</w:t>
            </w:r>
            <w:r w:rsidRPr="0019492B">
              <w:rPr>
                <w:rFonts w:eastAsia="Times New Roman"/>
                <w:color w:val="000000"/>
              </w:rPr>
              <w:t xml:space="preserve"> provider </w:t>
            </w:r>
            <w:r w:rsidR="00A06E1B">
              <w:rPr>
                <w:rFonts w:eastAsia="Times New Roman"/>
                <w:color w:val="000000"/>
              </w:rPr>
              <w:t>for patients presenting with BH</w:t>
            </w:r>
            <w:r w:rsidRPr="0019492B">
              <w:rPr>
                <w:rFonts w:eastAsia="Times New Roman"/>
                <w:color w:val="000000"/>
              </w:rPr>
              <w:t xml:space="preserve"> issues.</w:t>
            </w:r>
          </w:p>
          <w:p w:rsidR="005F1A4A" w:rsidRPr="0019492B" w:rsidRDefault="005F1A4A" w:rsidP="005F1A4A">
            <w:pPr>
              <w:rPr>
                <w:rFonts w:eastAsia="Times New Roman"/>
                <w:color w:val="000000"/>
              </w:rPr>
            </w:pPr>
          </w:p>
        </w:tc>
        <w:tc>
          <w:tcPr>
            <w:tcW w:w="573" w:type="dxa"/>
            <w:tcBorders>
              <w:top w:val="nil"/>
              <w:left w:val="nil"/>
              <w:bottom w:val="nil"/>
              <w:right w:val="nil"/>
            </w:tcBorders>
          </w:tcPr>
          <w:p w:rsidR="0019492B" w:rsidRPr="00462EE1" w:rsidRDefault="003F4136" w:rsidP="00E93FB0">
            <w:pPr>
              <w:rPr>
                <w:rFonts w:eastAsia="Times New Roman"/>
                <w:color w:val="000000"/>
                <w:sz w:val="40"/>
                <w:szCs w:val="40"/>
              </w:rPr>
            </w:pPr>
            <w:r>
              <w:rPr>
                <w:rFonts w:eastAsia="Times New Roman"/>
                <w:color w:val="000000"/>
                <w:sz w:val="40"/>
                <w:szCs w:val="40"/>
              </w:rPr>
              <w:sym w:font="Wingdings 2" w:char="F06B"/>
            </w:r>
          </w:p>
        </w:tc>
      </w:tr>
      <w:tr w:rsidR="0019492B" w:rsidRPr="0019492B" w:rsidTr="005F1A4A">
        <w:trPr>
          <w:trHeight w:val="288"/>
        </w:trPr>
        <w:tc>
          <w:tcPr>
            <w:tcW w:w="465" w:type="dxa"/>
            <w:tcBorders>
              <w:top w:val="nil"/>
              <w:left w:val="nil"/>
              <w:bottom w:val="nil"/>
              <w:right w:val="nil"/>
            </w:tcBorders>
          </w:tcPr>
          <w:p w:rsidR="0019492B" w:rsidRPr="0019492B" w:rsidRDefault="0019492B" w:rsidP="0019492B">
            <w:pPr>
              <w:rPr>
                <w:rFonts w:eastAsia="Times New Roman"/>
                <w:color w:val="000000"/>
              </w:rPr>
            </w:pPr>
            <w:r>
              <w:rPr>
                <w:rFonts w:eastAsia="Times New Roman"/>
                <w:color w:val="000000"/>
              </w:rPr>
              <w:t>7</w:t>
            </w:r>
          </w:p>
        </w:tc>
        <w:tc>
          <w:tcPr>
            <w:tcW w:w="9039" w:type="dxa"/>
            <w:tcBorders>
              <w:top w:val="nil"/>
              <w:left w:val="nil"/>
              <w:bottom w:val="nil"/>
              <w:right w:val="nil"/>
            </w:tcBorders>
            <w:shd w:val="clear" w:color="auto" w:fill="auto"/>
            <w:noWrap/>
            <w:hideMark/>
          </w:tcPr>
          <w:p w:rsidR="0019492B" w:rsidRDefault="0019492B" w:rsidP="005F1A4A">
            <w:pPr>
              <w:rPr>
                <w:rFonts w:eastAsia="Times New Roman"/>
                <w:color w:val="000000"/>
              </w:rPr>
            </w:pPr>
            <w:r w:rsidRPr="0019492B">
              <w:rPr>
                <w:rFonts w:eastAsia="Times New Roman"/>
                <w:color w:val="000000"/>
              </w:rPr>
              <w:t xml:space="preserve">The </w:t>
            </w:r>
            <w:r w:rsidR="00A06E1B">
              <w:rPr>
                <w:rFonts w:eastAsia="Times New Roman"/>
                <w:color w:val="000000"/>
              </w:rPr>
              <w:t>BH</w:t>
            </w:r>
            <w:r w:rsidRPr="0019492B">
              <w:rPr>
                <w:rFonts w:eastAsia="Times New Roman"/>
                <w:color w:val="000000"/>
              </w:rPr>
              <w:t xml:space="preserve"> provider is regarded as a core member of the primary care team (along with physicians, nurse practitioners, physician assistants, supportive nursing staff, etc.) and attends all primary care meetings.</w:t>
            </w:r>
          </w:p>
          <w:p w:rsidR="005F1A4A" w:rsidRPr="0019492B" w:rsidRDefault="005F1A4A" w:rsidP="005F1A4A">
            <w:pPr>
              <w:rPr>
                <w:rFonts w:eastAsia="Times New Roman"/>
                <w:color w:val="000000"/>
              </w:rPr>
            </w:pPr>
          </w:p>
        </w:tc>
        <w:tc>
          <w:tcPr>
            <w:tcW w:w="573" w:type="dxa"/>
            <w:tcBorders>
              <w:top w:val="nil"/>
              <w:left w:val="nil"/>
              <w:bottom w:val="nil"/>
              <w:right w:val="nil"/>
            </w:tcBorders>
          </w:tcPr>
          <w:p w:rsidR="0019492B" w:rsidRPr="00462EE1" w:rsidRDefault="003F4136" w:rsidP="00E93FB0">
            <w:pPr>
              <w:rPr>
                <w:rFonts w:eastAsia="Times New Roman"/>
                <w:color w:val="000000"/>
                <w:sz w:val="40"/>
                <w:szCs w:val="40"/>
              </w:rPr>
            </w:pPr>
            <w:r>
              <w:rPr>
                <w:rFonts w:eastAsia="Times New Roman"/>
                <w:color w:val="000000"/>
                <w:sz w:val="40"/>
                <w:szCs w:val="40"/>
              </w:rPr>
              <w:sym w:font="Wingdings 2" w:char="F06B"/>
            </w:r>
          </w:p>
        </w:tc>
      </w:tr>
      <w:tr w:rsidR="0019492B" w:rsidRPr="0019492B" w:rsidTr="005F1A4A">
        <w:trPr>
          <w:trHeight w:val="288"/>
        </w:trPr>
        <w:tc>
          <w:tcPr>
            <w:tcW w:w="465" w:type="dxa"/>
            <w:tcBorders>
              <w:top w:val="nil"/>
              <w:left w:val="nil"/>
              <w:bottom w:val="nil"/>
              <w:right w:val="nil"/>
            </w:tcBorders>
          </w:tcPr>
          <w:p w:rsidR="0019492B" w:rsidRPr="0019492B" w:rsidRDefault="0019492B" w:rsidP="0019492B">
            <w:pPr>
              <w:rPr>
                <w:rFonts w:eastAsia="Times New Roman"/>
                <w:color w:val="000000"/>
              </w:rPr>
            </w:pPr>
            <w:r>
              <w:rPr>
                <w:rFonts w:eastAsia="Times New Roman"/>
                <w:color w:val="000000"/>
              </w:rPr>
              <w:t>8</w:t>
            </w:r>
          </w:p>
        </w:tc>
        <w:tc>
          <w:tcPr>
            <w:tcW w:w="9039" w:type="dxa"/>
            <w:tcBorders>
              <w:top w:val="nil"/>
              <w:left w:val="nil"/>
              <w:bottom w:val="nil"/>
              <w:right w:val="nil"/>
            </w:tcBorders>
            <w:shd w:val="clear" w:color="auto" w:fill="auto"/>
            <w:noWrap/>
            <w:hideMark/>
          </w:tcPr>
          <w:p w:rsidR="0019492B" w:rsidRDefault="0019492B" w:rsidP="005F1A4A">
            <w:pPr>
              <w:rPr>
                <w:rFonts w:eastAsia="Times New Roman"/>
                <w:color w:val="000000"/>
              </w:rPr>
            </w:pPr>
            <w:r w:rsidRPr="0019492B">
              <w:rPr>
                <w:rFonts w:eastAsia="Times New Roman"/>
                <w:color w:val="000000"/>
              </w:rPr>
              <w:t>The PC team is educated on specific behavioral health topics.</w:t>
            </w:r>
          </w:p>
          <w:p w:rsidR="005F1A4A" w:rsidRPr="0019492B" w:rsidRDefault="005F1A4A" w:rsidP="005F1A4A">
            <w:pPr>
              <w:rPr>
                <w:rFonts w:eastAsia="Times New Roman"/>
                <w:color w:val="000000"/>
              </w:rPr>
            </w:pPr>
          </w:p>
        </w:tc>
        <w:tc>
          <w:tcPr>
            <w:tcW w:w="573" w:type="dxa"/>
            <w:tcBorders>
              <w:top w:val="nil"/>
              <w:left w:val="nil"/>
              <w:bottom w:val="nil"/>
              <w:right w:val="nil"/>
            </w:tcBorders>
          </w:tcPr>
          <w:p w:rsidR="0019492B" w:rsidRPr="00462EE1" w:rsidRDefault="003F4136" w:rsidP="00E93FB0">
            <w:pPr>
              <w:rPr>
                <w:rFonts w:eastAsia="Times New Roman"/>
                <w:color w:val="000000"/>
                <w:sz w:val="40"/>
                <w:szCs w:val="40"/>
              </w:rPr>
            </w:pPr>
            <w:r>
              <w:rPr>
                <w:rFonts w:eastAsia="Times New Roman"/>
                <w:color w:val="000000"/>
                <w:sz w:val="40"/>
                <w:szCs w:val="40"/>
              </w:rPr>
              <w:sym w:font="Wingdings 2" w:char="F06B"/>
            </w:r>
          </w:p>
        </w:tc>
      </w:tr>
      <w:tr w:rsidR="0019492B" w:rsidRPr="0019492B" w:rsidTr="005F1A4A">
        <w:trPr>
          <w:trHeight w:val="288"/>
        </w:trPr>
        <w:tc>
          <w:tcPr>
            <w:tcW w:w="465" w:type="dxa"/>
            <w:tcBorders>
              <w:top w:val="nil"/>
              <w:left w:val="nil"/>
              <w:bottom w:val="nil"/>
              <w:right w:val="nil"/>
            </w:tcBorders>
          </w:tcPr>
          <w:p w:rsidR="0019492B" w:rsidRPr="0019492B" w:rsidRDefault="0019492B" w:rsidP="0019492B">
            <w:pPr>
              <w:rPr>
                <w:rFonts w:eastAsia="Times New Roman"/>
                <w:color w:val="000000"/>
              </w:rPr>
            </w:pPr>
            <w:r>
              <w:rPr>
                <w:rFonts w:eastAsia="Times New Roman"/>
                <w:color w:val="000000"/>
              </w:rPr>
              <w:t>9</w:t>
            </w:r>
          </w:p>
        </w:tc>
        <w:tc>
          <w:tcPr>
            <w:tcW w:w="9039" w:type="dxa"/>
            <w:tcBorders>
              <w:top w:val="nil"/>
              <w:left w:val="nil"/>
              <w:bottom w:val="nil"/>
              <w:right w:val="nil"/>
            </w:tcBorders>
            <w:shd w:val="clear" w:color="auto" w:fill="auto"/>
            <w:noWrap/>
            <w:hideMark/>
          </w:tcPr>
          <w:p w:rsidR="0019492B" w:rsidRDefault="0019492B" w:rsidP="005F1A4A">
            <w:pPr>
              <w:rPr>
                <w:rFonts w:eastAsia="Times New Roman"/>
                <w:color w:val="000000"/>
              </w:rPr>
            </w:pPr>
            <w:r w:rsidRPr="0019492B">
              <w:rPr>
                <w:rFonts w:eastAsia="Times New Roman"/>
                <w:color w:val="000000"/>
              </w:rPr>
              <w:t xml:space="preserve">The clinic has defined a steering group (medical director, nursing director, and </w:t>
            </w:r>
            <w:r w:rsidR="00A06E1B">
              <w:rPr>
                <w:rFonts w:eastAsia="Times New Roman"/>
                <w:color w:val="000000"/>
              </w:rPr>
              <w:t>BH</w:t>
            </w:r>
            <w:r w:rsidRPr="0019492B">
              <w:rPr>
                <w:rFonts w:eastAsia="Times New Roman"/>
                <w:color w:val="000000"/>
              </w:rPr>
              <w:t xml:space="preserve"> director) as champions for the PCBHI-SBIRT program.</w:t>
            </w:r>
          </w:p>
          <w:p w:rsidR="005F1A4A" w:rsidRPr="0019492B" w:rsidRDefault="005F1A4A" w:rsidP="005F1A4A">
            <w:pPr>
              <w:rPr>
                <w:rFonts w:eastAsia="Times New Roman"/>
                <w:color w:val="000000"/>
              </w:rPr>
            </w:pPr>
          </w:p>
        </w:tc>
        <w:tc>
          <w:tcPr>
            <w:tcW w:w="573" w:type="dxa"/>
            <w:tcBorders>
              <w:top w:val="nil"/>
              <w:left w:val="nil"/>
              <w:bottom w:val="nil"/>
              <w:right w:val="nil"/>
            </w:tcBorders>
          </w:tcPr>
          <w:p w:rsidR="0019492B" w:rsidRPr="00462EE1" w:rsidRDefault="003F4136" w:rsidP="00E93FB0">
            <w:pPr>
              <w:rPr>
                <w:rFonts w:eastAsia="Times New Roman"/>
                <w:color w:val="000000"/>
                <w:sz w:val="40"/>
                <w:szCs w:val="40"/>
              </w:rPr>
            </w:pPr>
            <w:r>
              <w:rPr>
                <w:rFonts w:eastAsia="Times New Roman"/>
                <w:color w:val="000000"/>
                <w:sz w:val="40"/>
                <w:szCs w:val="40"/>
              </w:rPr>
              <w:sym w:font="Wingdings 2" w:char="F06B"/>
            </w:r>
          </w:p>
        </w:tc>
      </w:tr>
    </w:tbl>
    <w:p w:rsidR="005F1A4A" w:rsidRDefault="005F1A4A" w:rsidP="005F1A4A">
      <w:pPr>
        <w:jc w:val="center"/>
      </w:pPr>
    </w:p>
    <w:p w:rsidR="005F1A4A" w:rsidRDefault="005F1A4A" w:rsidP="00F13B79">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Patient Population Impact</w:t>
      </w:r>
    </w:p>
    <w:p w:rsidR="0013200C" w:rsidRDefault="0013200C" w:rsidP="0013200C"/>
    <w:tbl>
      <w:tblPr>
        <w:tblW w:w="10028" w:type="dxa"/>
        <w:tblInd w:w="93" w:type="dxa"/>
        <w:tblLook w:val="04A0" w:firstRow="1" w:lastRow="0" w:firstColumn="1" w:lastColumn="0" w:noHBand="0" w:noVBand="1"/>
      </w:tblPr>
      <w:tblGrid>
        <w:gridCol w:w="416"/>
        <w:gridCol w:w="9039"/>
        <w:gridCol w:w="573"/>
      </w:tblGrid>
      <w:tr w:rsidR="005F1A4A" w:rsidRPr="005F1A4A" w:rsidTr="005F1A4A">
        <w:trPr>
          <w:trHeight w:val="288"/>
        </w:trPr>
        <w:tc>
          <w:tcPr>
            <w:tcW w:w="416" w:type="dxa"/>
            <w:tcBorders>
              <w:top w:val="nil"/>
              <w:left w:val="nil"/>
              <w:bottom w:val="nil"/>
              <w:right w:val="nil"/>
            </w:tcBorders>
          </w:tcPr>
          <w:p w:rsidR="005F1A4A" w:rsidRPr="005F1A4A" w:rsidRDefault="005F1A4A" w:rsidP="005F1A4A">
            <w:pPr>
              <w:rPr>
                <w:rFonts w:eastAsia="Times New Roman"/>
                <w:color w:val="000000"/>
              </w:rPr>
            </w:pPr>
            <w:r>
              <w:rPr>
                <w:rFonts w:eastAsia="Times New Roman"/>
                <w:color w:val="000000"/>
              </w:rPr>
              <w:t>10</w:t>
            </w:r>
          </w:p>
        </w:tc>
        <w:tc>
          <w:tcPr>
            <w:tcW w:w="9039" w:type="dxa"/>
            <w:tcBorders>
              <w:top w:val="nil"/>
              <w:left w:val="nil"/>
              <w:bottom w:val="nil"/>
              <w:right w:val="nil"/>
            </w:tcBorders>
            <w:shd w:val="clear" w:color="auto" w:fill="auto"/>
            <w:noWrap/>
            <w:vAlign w:val="center"/>
            <w:hideMark/>
          </w:tcPr>
          <w:p w:rsidR="005F1A4A" w:rsidRDefault="005F1A4A" w:rsidP="005F1A4A">
            <w:pPr>
              <w:rPr>
                <w:rFonts w:eastAsia="Times New Roman"/>
                <w:color w:val="000000"/>
              </w:rPr>
            </w:pPr>
            <w:r w:rsidRPr="005F1A4A">
              <w:rPr>
                <w:rFonts w:eastAsia="Times New Roman"/>
                <w:color w:val="000000"/>
              </w:rPr>
              <w:t xml:space="preserve">Universal screenings are conducted prior to or during the exam room visit through 1) warm handoff from the nursing staff or PCP and/or 2) referral to </w:t>
            </w:r>
            <w:r w:rsidR="00A06E1B">
              <w:rPr>
                <w:rFonts w:eastAsia="Times New Roman"/>
                <w:color w:val="000000"/>
              </w:rPr>
              <w:t>BH</w:t>
            </w:r>
            <w:r w:rsidRPr="005F1A4A">
              <w:rPr>
                <w:rFonts w:eastAsia="Times New Roman"/>
                <w:color w:val="000000"/>
              </w:rPr>
              <w:t xml:space="preserve"> provider for further depression and substance use screening.</w:t>
            </w:r>
          </w:p>
          <w:p w:rsidR="0053512F" w:rsidRPr="005F1A4A" w:rsidRDefault="0053512F" w:rsidP="005F1A4A">
            <w:pPr>
              <w:rPr>
                <w:rFonts w:eastAsia="Times New Roman"/>
                <w:color w:val="000000"/>
              </w:rPr>
            </w:pPr>
          </w:p>
        </w:tc>
        <w:tc>
          <w:tcPr>
            <w:tcW w:w="573" w:type="dxa"/>
            <w:tcBorders>
              <w:top w:val="nil"/>
              <w:left w:val="nil"/>
              <w:bottom w:val="nil"/>
              <w:right w:val="nil"/>
            </w:tcBorders>
          </w:tcPr>
          <w:p w:rsidR="005F1A4A" w:rsidRPr="00462EE1" w:rsidRDefault="003F4136" w:rsidP="00E93FB0">
            <w:pPr>
              <w:rPr>
                <w:rFonts w:eastAsia="Times New Roman"/>
                <w:color w:val="000000"/>
                <w:sz w:val="40"/>
                <w:szCs w:val="40"/>
              </w:rPr>
            </w:pPr>
            <w:r>
              <w:rPr>
                <w:rFonts w:eastAsia="Times New Roman"/>
                <w:color w:val="000000"/>
                <w:sz w:val="40"/>
                <w:szCs w:val="40"/>
              </w:rPr>
              <w:sym w:font="Wingdings 2" w:char="F06A"/>
            </w:r>
          </w:p>
        </w:tc>
      </w:tr>
      <w:tr w:rsidR="005F1A4A" w:rsidRPr="005F1A4A" w:rsidTr="005F1A4A">
        <w:trPr>
          <w:trHeight w:val="288"/>
        </w:trPr>
        <w:tc>
          <w:tcPr>
            <w:tcW w:w="416" w:type="dxa"/>
            <w:tcBorders>
              <w:top w:val="nil"/>
              <w:left w:val="nil"/>
              <w:bottom w:val="nil"/>
              <w:right w:val="nil"/>
            </w:tcBorders>
          </w:tcPr>
          <w:p w:rsidR="005F1A4A" w:rsidRPr="005F1A4A" w:rsidRDefault="005F1A4A" w:rsidP="005F1A4A">
            <w:pPr>
              <w:rPr>
                <w:rFonts w:eastAsia="Times New Roman"/>
                <w:color w:val="000000"/>
              </w:rPr>
            </w:pPr>
            <w:r>
              <w:rPr>
                <w:rFonts w:eastAsia="Times New Roman"/>
                <w:color w:val="000000"/>
              </w:rPr>
              <w:t>11</w:t>
            </w:r>
          </w:p>
        </w:tc>
        <w:tc>
          <w:tcPr>
            <w:tcW w:w="9039" w:type="dxa"/>
            <w:tcBorders>
              <w:top w:val="nil"/>
              <w:left w:val="nil"/>
              <w:bottom w:val="nil"/>
              <w:right w:val="nil"/>
            </w:tcBorders>
            <w:shd w:val="clear" w:color="auto" w:fill="auto"/>
            <w:noWrap/>
            <w:vAlign w:val="center"/>
            <w:hideMark/>
          </w:tcPr>
          <w:p w:rsidR="005F1A4A" w:rsidRDefault="005F1A4A" w:rsidP="005F1A4A">
            <w:pPr>
              <w:rPr>
                <w:rFonts w:eastAsia="Times New Roman"/>
                <w:color w:val="000000"/>
              </w:rPr>
            </w:pPr>
            <w:r w:rsidRPr="005F1A4A">
              <w:rPr>
                <w:rFonts w:eastAsia="Times New Roman"/>
                <w:color w:val="000000"/>
              </w:rPr>
              <w:t>Patients are screened by nursing staff/health educators to review healthy lifestyle self-management, such as developing a</w:t>
            </w:r>
            <w:r w:rsidR="0053512F">
              <w:rPr>
                <w:rFonts w:eastAsia="Times New Roman"/>
                <w:color w:val="000000"/>
              </w:rPr>
              <w:t>n</w:t>
            </w:r>
            <w:r w:rsidRPr="005F1A4A">
              <w:rPr>
                <w:rFonts w:eastAsia="Times New Roman"/>
                <w:color w:val="000000"/>
              </w:rPr>
              <w:t xml:space="preserve"> exercise plan, diet plan</w:t>
            </w:r>
            <w:r w:rsidR="0053512F">
              <w:rPr>
                <w:rFonts w:eastAsia="Times New Roman"/>
                <w:color w:val="000000"/>
              </w:rPr>
              <w:t>, smoking cessation</w:t>
            </w:r>
            <w:r w:rsidRPr="005F1A4A">
              <w:rPr>
                <w:rFonts w:eastAsia="Times New Roman"/>
                <w:color w:val="000000"/>
              </w:rPr>
              <w:t xml:space="preserve"> </w:t>
            </w:r>
            <w:r w:rsidR="0053512F">
              <w:rPr>
                <w:rFonts w:eastAsia="Times New Roman"/>
                <w:color w:val="000000"/>
              </w:rPr>
              <w:t xml:space="preserve">and </w:t>
            </w:r>
            <w:r w:rsidR="00A06E1B">
              <w:rPr>
                <w:rFonts w:eastAsia="Times New Roman"/>
                <w:color w:val="000000"/>
              </w:rPr>
              <w:t xml:space="preserve">reducing </w:t>
            </w:r>
            <w:r w:rsidR="0053512F">
              <w:rPr>
                <w:rFonts w:eastAsia="Times New Roman"/>
                <w:color w:val="000000"/>
              </w:rPr>
              <w:t xml:space="preserve">other </w:t>
            </w:r>
            <w:r w:rsidR="00A06E1B">
              <w:rPr>
                <w:rFonts w:eastAsia="Times New Roman"/>
                <w:color w:val="000000"/>
              </w:rPr>
              <w:t>health risks.</w:t>
            </w:r>
          </w:p>
          <w:p w:rsidR="0053512F" w:rsidRPr="005F1A4A" w:rsidRDefault="0053512F" w:rsidP="005F1A4A">
            <w:pPr>
              <w:rPr>
                <w:rFonts w:eastAsia="Times New Roman"/>
                <w:color w:val="000000"/>
              </w:rPr>
            </w:pPr>
          </w:p>
        </w:tc>
        <w:tc>
          <w:tcPr>
            <w:tcW w:w="573" w:type="dxa"/>
            <w:tcBorders>
              <w:top w:val="nil"/>
              <w:left w:val="nil"/>
              <w:bottom w:val="nil"/>
              <w:right w:val="nil"/>
            </w:tcBorders>
          </w:tcPr>
          <w:p w:rsidR="005F1A4A" w:rsidRPr="00462EE1" w:rsidRDefault="003F4136" w:rsidP="00E93FB0">
            <w:pPr>
              <w:rPr>
                <w:rFonts w:eastAsia="Times New Roman"/>
                <w:color w:val="000000"/>
                <w:sz w:val="40"/>
                <w:szCs w:val="40"/>
              </w:rPr>
            </w:pPr>
            <w:r>
              <w:rPr>
                <w:rFonts w:eastAsia="Times New Roman"/>
                <w:color w:val="000000"/>
                <w:sz w:val="40"/>
                <w:szCs w:val="40"/>
              </w:rPr>
              <w:sym w:font="Wingdings 2" w:char="F06B"/>
            </w:r>
          </w:p>
        </w:tc>
      </w:tr>
      <w:tr w:rsidR="005F1A4A" w:rsidRPr="005F1A4A" w:rsidTr="005F1A4A">
        <w:trPr>
          <w:trHeight w:val="288"/>
        </w:trPr>
        <w:tc>
          <w:tcPr>
            <w:tcW w:w="416" w:type="dxa"/>
            <w:tcBorders>
              <w:top w:val="nil"/>
              <w:left w:val="nil"/>
              <w:bottom w:val="nil"/>
              <w:right w:val="nil"/>
            </w:tcBorders>
          </w:tcPr>
          <w:p w:rsidR="005F1A4A" w:rsidRPr="005F1A4A" w:rsidRDefault="005F1A4A" w:rsidP="005F1A4A">
            <w:pPr>
              <w:rPr>
                <w:rFonts w:eastAsia="Times New Roman"/>
                <w:color w:val="000000"/>
              </w:rPr>
            </w:pPr>
            <w:r>
              <w:rPr>
                <w:rFonts w:eastAsia="Times New Roman"/>
                <w:color w:val="000000"/>
              </w:rPr>
              <w:t>12</w:t>
            </w:r>
          </w:p>
        </w:tc>
        <w:tc>
          <w:tcPr>
            <w:tcW w:w="9039" w:type="dxa"/>
            <w:tcBorders>
              <w:top w:val="nil"/>
              <w:left w:val="nil"/>
              <w:bottom w:val="nil"/>
              <w:right w:val="nil"/>
            </w:tcBorders>
            <w:shd w:val="clear" w:color="auto" w:fill="auto"/>
            <w:noWrap/>
            <w:vAlign w:val="center"/>
            <w:hideMark/>
          </w:tcPr>
          <w:p w:rsidR="005F1A4A" w:rsidRDefault="005F1A4A" w:rsidP="005F1A4A">
            <w:pPr>
              <w:rPr>
                <w:rFonts w:eastAsia="Times New Roman"/>
                <w:color w:val="000000"/>
              </w:rPr>
            </w:pPr>
            <w:r w:rsidRPr="005F1A4A">
              <w:rPr>
                <w:rFonts w:eastAsia="Times New Roman"/>
                <w:color w:val="000000"/>
              </w:rPr>
              <w:t xml:space="preserve">Patients presenting specific medical indicators (e.g., diabetes, weight, pain scale, depression or substance use) are referred to the </w:t>
            </w:r>
            <w:r w:rsidR="00A06E1B">
              <w:rPr>
                <w:rFonts w:eastAsia="Times New Roman"/>
                <w:color w:val="000000"/>
              </w:rPr>
              <w:t>BH</w:t>
            </w:r>
            <w:r w:rsidRPr="005F1A4A">
              <w:rPr>
                <w:rFonts w:eastAsia="Times New Roman"/>
                <w:color w:val="000000"/>
              </w:rPr>
              <w:t xml:space="preserve"> provider for consultation/SBIRT treatment intervention.</w:t>
            </w:r>
          </w:p>
          <w:p w:rsidR="0053512F" w:rsidRPr="005F1A4A" w:rsidRDefault="0053512F" w:rsidP="005F1A4A">
            <w:pPr>
              <w:rPr>
                <w:rFonts w:eastAsia="Times New Roman"/>
                <w:color w:val="000000"/>
              </w:rPr>
            </w:pPr>
          </w:p>
        </w:tc>
        <w:tc>
          <w:tcPr>
            <w:tcW w:w="573" w:type="dxa"/>
            <w:tcBorders>
              <w:top w:val="nil"/>
              <w:left w:val="nil"/>
              <w:bottom w:val="nil"/>
              <w:right w:val="nil"/>
            </w:tcBorders>
          </w:tcPr>
          <w:p w:rsidR="005F1A4A" w:rsidRPr="00462EE1" w:rsidRDefault="003F4136" w:rsidP="00E93FB0">
            <w:pPr>
              <w:rPr>
                <w:rFonts w:eastAsia="Times New Roman"/>
                <w:color w:val="000000"/>
                <w:sz w:val="40"/>
                <w:szCs w:val="40"/>
              </w:rPr>
            </w:pPr>
            <w:r>
              <w:rPr>
                <w:rFonts w:eastAsia="Times New Roman"/>
                <w:color w:val="000000"/>
                <w:sz w:val="40"/>
                <w:szCs w:val="40"/>
              </w:rPr>
              <w:sym w:font="Wingdings 2" w:char="F06B"/>
            </w:r>
          </w:p>
        </w:tc>
      </w:tr>
      <w:tr w:rsidR="005F1A4A" w:rsidRPr="005F1A4A" w:rsidTr="005F1A4A">
        <w:trPr>
          <w:trHeight w:val="288"/>
        </w:trPr>
        <w:tc>
          <w:tcPr>
            <w:tcW w:w="416" w:type="dxa"/>
            <w:tcBorders>
              <w:top w:val="nil"/>
              <w:left w:val="nil"/>
              <w:bottom w:val="nil"/>
              <w:right w:val="nil"/>
            </w:tcBorders>
          </w:tcPr>
          <w:p w:rsidR="005F1A4A" w:rsidRPr="005F1A4A" w:rsidRDefault="005F1A4A" w:rsidP="005F1A4A">
            <w:pPr>
              <w:rPr>
                <w:rFonts w:eastAsia="Times New Roman"/>
                <w:color w:val="000000"/>
              </w:rPr>
            </w:pPr>
            <w:r>
              <w:rPr>
                <w:rFonts w:eastAsia="Times New Roman"/>
                <w:color w:val="000000"/>
              </w:rPr>
              <w:t>13</w:t>
            </w:r>
          </w:p>
        </w:tc>
        <w:tc>
          <w:tcPr>
            <w:tcW w:w="9039" w:type="dxa"/>
            <w:tcBorders>
              <w:top w:val="nil"/>
              <w:left w:val="nil"/>
              <w:bottom w:val="nil"/>
              <w:right w:val="nil"/>
            </w:tcBorders>
            <w:shd w:val="clear" w:color="auto" w:fill="auto"/>
            <w:noWrap/>
            <w:vAlign w:val="center"/>
            <w:hideMark/>
          </w:tcPr>
          <w:p w:rsidR="005F1A4A" w:rsidRDefault="005F1A4A" w:rsidP="005F1A4A">
            <w:pPr>
              <w:rPr>
                <w:rFonts w:eastAsia="Times New Roman"/>
                <w:color w:val="000000"/>
              </w:rPr>
            </w:pPr>
            <w:r w:rsidRPr="005F1A4A">
              <w:rPr>
                <w:rFonts w:eastAsia="Times New Roman"/>
                <w:color w:val="000000"/>
              </w:rPr>
              <w:t xml:space="preserve">Patients with somatic complaints (e.g., headaches, insomnia, </w:t>
            </w:r>
            <w:proofErr w:type="gramStart"/>
            <w:r w:rsidRPr="005F1A4A">
              <w:rPr>
                <w:rFonts w:eastAsia="Times New Roman"/>
                <w:color w:val="000000"/>
              </w:rPr>
              <w:t>irritable</w:t>
            </w:r>
            <w:proofErr w:type="gramEnd"/>
            <w:r w:rsidRPr="005F1A4A">
              <w:rPr>
                <w:rFonts w:eastAsia="Times New Roman"/>
                <w:color w:val="000000"/>
              </w:rPr>
              <w:t xml:space="preserve"> bowel syndrome) associated with depression and anxiety are routinely referred to </w:t>
            </w:r>
            <w:r w:rsidR="00A06E1B">
              <w:rPr>
                <w:rFonts w:eastAsia="Times New Roman"/>
                <w:color w:val="000000"/>
              </w:rPr>
              <w:t>BH</w:t>
            </w:r>
            <w:r w:rsidRPr="005F1A4A">
              <w:rPr>
                <w:rFonts w:eastAsia="Times New Roman"/>
                <w:color w:val="000000"/>
              </w:rPr>
              <w:t xml:space="preserve"> provider.</w:t>
            </w:r>
          </w:p>
          <w:p w:rsidR="0053512F" w:rsidRPr="005F1A4A" w:rsidRDefault="0053512F" w:rsidP="005F1A4A">
            <w:pPr>
              <w:rPr>
                <w:rFonts w:eastAsia="Times New Roman"/>
                <w:color w:val="000000"/>
              </w:rPr>
            </w:pPr>
          </w:p>
        </w:tc>
        <w:tc>
          <w:tcPr>
            <w:tcW w:w="573" w:type="dxa"/>
            <w:tcBorders>
              <w:top w:val="nil"/>
              <w:left w:val="nil"/>
              <w:bottom w:val="nil"/>
              <w:right w:val="nil"/>
            </w:tcBorders>
          </w:tcPr>
          <w:p w:rsidR="005F1A4A" w:rsidRPr="00462EE1" w:rsidRDefault="003F4136" w:rsidP="00E93FB0">
            <w:pPr>
              <w:rPr>
                <w:rFonts w:eastAsia="Times New Roman"/>
                <w:color w:val="000000"/>
                <w:sz w:val="40"/>
                <w:szCs w:val="40"/>
              </w:rPr>
            </w:pPr>
            <w:r>
              <w:rPr>
                <w:rFonts w:eastAsia="Times New Roman"/>
                <w:color w:val="000000"/>
                <w:sz w:val="40"/>
                <w:szCs w:val="40"/>
              </w:rPr>
              <w:sym w:font="Wingdings 2" w:char="F06B"/>
            </w:r>
          </w:p>
        </w:tc>
      </w:tr>
      <w:tr w:rsidR="005F1A4A" w:rsidRPr="005F1A4A" w:rsidTr="005F1A4A">
        <w:trPr>
          <w:trHeight w:val="288"/>
        </w:trPr>
        <w:tc>
          <w:tcPr>
            <w:tcW w:w="416" w:type="dxa"/>
            <w:tcBorders>
              <w:top w:val="nil"/>
              <w:left w:val="nil"/>
              <w:bottom w:val="nil"/>
              <w:right w:val="nil"/>
            </w:tcBorders>
          </w:tcPr>
          <w:p w:rsidR="005F1A4A" w:rsidRPr="005F1A4A" w:rsidRDefault="005F1A4A" w:rsidP="005F1A4A">
            <w:pPr>
              <w:rPr>
                <w:rFonts w:eastAsia="Times New Roman"/>
                <w:color w:val="000000"/>
              </w:rPr>
            </w:pPr>
            <w:r>
              <w:rPr>
                <w:rFonts w:eastAsia="Times New Roman"/>
                <w:color w:val="000000"/>
              </w:rPr>
              <w:t>14</w:t>
            </w:r>
          </w:p>
        </w:tc>
        <w:tc>
          <w:tcPr>
            <w:tcW w:w="9039" w:type="dxa"/>
            <w:tcBorders>
              <w:top w:val="nil"/>
              <w:left w:val="nil"/>
              <w:bottom w:val="nil"/>
              <w:right w:val="nil"/>
            </w:tcBorders>
            <w:shd w:val="clear" w:color="auto" w:fill="auto"/>
            <w:noWrap/>
            <w:vAlign w:val="center"/>
            <w:hideMark/>
          </w:tcPr>
          <w:p w:rsidR="005F1A4A" w:rsidRDefault="00A06E1B" w:rsidP="005F1A4A">
            <w:pPr>
              <w:rPr>
                <w:rFonts w:eastAsia="Times New Roman"/>
                <w:color w:val="000000"/>
              </w:rPr>
            </w:pPr>
            <w:r>
              <w:rPr>
                <w:rFonts w:eastAsia="Times New Roman"/>
                <w:color w:val="000000"/>
              </w:rPr>
              <w:t>Care coordinator nurses</w:t>
            </w:r>
            <w:r w:rsidR="005F1A4A" w:rsidRPr="005F1A4A">
              <w:rPr>
                <w:rFonts w:eastAsia="Times New Roman"/>
                <w:color w:val="000000"/>
              </w:rPr>
              <w:t xml:space="preserve"> assist in monitoring prescribed self-care plans for patients </w:t>
            </w:r>
            <w:r w:rsidRPr="005F1A4A">
              <w:rPr>
                <w:rFonts w:eastAsia="Times New Roman"/>
                <w:color w:val="000000"/>
              </w:rPr>
              <w:t xml:space="preserve">with comorbid, chronic PC and BH conditions </w:t>
            </w:r>
            <w:r w:rsidR="005F1A4A" w:rsidRPr="005F1A4A">
              <w:rPr>
                <w:rFonts w:eastAsia="Times New Roman"/>
                <w:color w:val="000000"/>
              </w:rPr>
              <w:t xml:space="preserve">and collaborate with clinical case managers regarding referrals to both medical and </w:t>
            </w:r>
            <w:r>
              <w:rPr>
                <w:rFonts w:eastAsia="Times New Roman"/>
                <w:color w:val="000000"/>
              </w:rPr>
              <w:t>BH</w:t>
            </w:r>
            <w:r w:rsidR="005F1A4A" w:rsidRPr="005F1A4A">
              <w:rPr>
                <w:rFonts w:eastAsia="Times New Roman"/>
                <w:color w:val="000000"/>
              </w:rPr>
              <w:t xml:space="preserve"> specialty services for more intensive treatment recommended by the primary care team.</w:t>
            </w:r>
          </w:p>
          <w:p w:rsidR="0053512F" w:rsidRPr="005F1A4A" w:rsidRDefault="0053512F" w:rsidP="005F1A4A">
            <w:pPr>
              <w:rPr>
                <w:rFonts w:eastAsia="Times New Roman"/>
                <w:color w:val="000000"/>
              </w:rPr>
            </w:pPr>
          </w:p>
        </w:tc>
        <w:tc>
          <w:tcPr>
            <w:tcW w:w="573" w:type="dxa"/>
            <w:tcBorders>
              <w:top w:val="nil"/>
              <w:left w:val="nil"/>
              <w:bottom w:val="nil"/>
              <w:right w:val="nil"/>
            </w:tcBorders>
          </w:tcPr>
          <w:p w:rsidR="005F1A4A" w:rsidRPr="00462EE1" w:rsidRDefault="003F4136" w:rsidP="00E93FB0">
            <w:pPr>
              <w:rPr>
                <w:rFonts w:eastAsia="Times New Roman"/>
                <w:color w:val="000000"/>
                <w:sz w:val="40"/>
                <w:szCs w:val="40"/>
              </w:rPr>
            </w:pPr>
            <w:r>
              <w:rPr>
                <w:rFonts w:eastAsia="Times New Roman"/>
                <w:color w:val="000000"/>
                <w:sz w:val="40"/>
                <w:szCs w:val="40"/>
              </w:rPr>
              <w:sym w:font="Wingdings 2" w:char="F06A"/>
            </w:r>
          </w:p>
        </w:tc>
      </w:tr>
      <w:tr w:rsidR="005F1A4A" w:rsidRPr="005F1A4A" w:rsidTr="005F1A4A">
        <w:trPr>
          <w:trHeight w:val="288"/>
        </w:trPr>
        <w:tc>
          <w:tcPr>
            <w:tcW w:w="416" w:type="dxa"/>
            <w:tcBorders>
              <w:top w:val="nil"/>
              <w:left w:val="nil"/>
              <w:bottom w:val="nil"/>
              <w:right w:val="nil"/>
            </w:tcBorders>
          </w:tcPr>
          <w:p w:rsidR="005F1A4A" w:rsidRPr="005F1A4A" w:rsidRDefault="005F1A4A" w:rsidP="005F1A4A">
            <w:pPr>
              <w:rPr>
                <w:rFonts w:eastAsia="Times New Roman"/>
                <w:color w:val="000000"/>
              </w:rPr>
            </w:pPr>
            <w:r>
              <w:rPr>
                <w:rFonts w:eastAsia="Times New Roman"/>
                <w:color w:val="000000"/>
              </w:rPr>
              <w:t>15</w:t>
            </w:r>
          </w:p>
        </w:tc>
        <w:tc>
          <w:tcPr>
            <w:tcW w:w="9039" w:type="dxa"/>
            <w:tcBorders>
              <w:top w:val="nil"/>
              <w:left w:val="nil"/>
              <w:bottom w:val="nil"/>
              <w:right w:val="nil"/>
            </w:tcBorders>
            <w:shd w:val="clear" w:color="auto" w:fill="auto"/>
            <w:noWrap/>
            <w:vAlign w:val="center"/>
            <w:hideMark/>
          </w:tcPr>
          <w:p w:rsidR="005F1A4A" w:rsidRDefault="00A06E1B" w:rsidP="005F1A4A">
            <w:pPr>
              <w:rPr>
                <w:rFonts w:eastAsia="Times New Roman"/>
                <w:color w:val="000000"/>
              </w:rPr>
            </w:pPr>
            <w:r>
              <w:rPr>
                <w:rFonts w:eastAsia="Times New Roman"/>
                <w:color w:val="000000"/>
              </w:rPr>
              <w:t>Please indicate which of the following services are provided by your clinic</w:t>
            </w:r>
            <w:r w:rsidR="005F1A4A">
              <w:rPr>
                <w:rFonts w:eastAsia="Times New Roman"/>
                <w:color w:val="000000"/>
              </w:rPr>
              <w:t xml:space="preserve">:  </w:t>
            </w:r>
            <w:r>
              <w:rPr>
                <w:rFonts w:eastAsia="Times New Roman"/>
                <w:color w:val="000000"/>
              </w:rPr>
              <w:t xml:space="preserve">         </w:t>
            </w:r>
            <w:r w:rsidR="005F1A4A">
              <w:rPr>
                <w:rFonts w:eastAsia="Times New Roman"/>
                <w:color w:val="000000"/>
              </w:rPr>
              <w:t>(Check all that apply)</w:t>
            </w:r>
          </w:p>
          <w:p w:rsidR="00CA1EC6" w:rsidRDefault="00CA1EC6" w:rsidP="005F1A4A">
            <w:pPr>
              <w:rPr>
                <w:rFonts w:eastAsia="Times New Roman"/>
                <w:color w:val="000000"/>
              </w:rPr>
            </w:pPr>
          </w:p>
          <w:p w:rsidR="005F1A4A" w:rsidRDefault="005F1A4A" w:rsidP="005F1A4A">
            <w:r>
              <w:t xml:space="preserve">     </w:t>
            </w:r>
            <w:r w:rsidR="00D677BB">
              <w:sym w:font="Wingdings 2" w:char="F050"/>
            </w:r>
            <w:r>
              <w:t xml:space="preserve"> </w:t>
            </w:r>
            <w:r w:rsidR="00CA1EC6">
              <w:t xml:space="preserve">a. </w:t>
            </w:r>
            <w:r>
              <w:t xml:space="preserve">Consultation to primary care                     </w:t>
            </w:r>
            <w:r w:rsidR="00D677BB">
              <w:sym w:font="Wingdings 2" w:char="F050"/>
            </w:r>
            <w:r w:rsidR="00CA1EC6">
              <w:t xml:space="preserve">d. </w:t>
            </w:r>
            <w:r>
              <w:t>Behavioral health treatment services</w:t>
            </w:r>
          </w:p>
          <w:p w:rsidR="005F1A4A" w:rsidRDefault="005F1A4A" w:rsidP="005F1A4A">
            <w:r>
              <w:t xml:space="preserve">     </w:t>
            </w:r>
            <w:r w:rsidR="00D677BB">
              <w:sym w:font="Wingdings 2" w:char="F050"/>
            </w:r>
            <w:r w:rsidR="00CA1EC6">
              <w:t xml:space="preserve">b. </w:t>
            </w:r>
            <w:r>
              <w:t xml:space="preserve">Diagnostic evaluation                                </w:t>
            </w:r>
            <w:r w:rsidR="00D677BB">
              <w:sym w:font="Wingdings 2" w:char="F050"/>
            </w:r>
            <w:r w:rsidR="00CA1EC6">
              <w:t xml:space="preserve">e. </w:t>
            </w:r>
            <w:r>
              <w:t>Pharmacotherapy for mental disorders</w:t>
            </w:r>
          </w:p>
          <w:p w:rsidR="005F1A4A" w:rsidRPr="005F1A4A" w:rsidRDefault="005F1A4A" w:rsidP="00D677BB">
            <w:r>
              <w:t xml:space="preserve">     </w:t>
            </w:r>
            <w:r w:rsidR="00D677BB">
              <w:sym w:font="Wingdings 2" w:char="F050"/>
            </w:r>
            <w:r w:rsidR="00CA1EC6">
              <w:t xml:space="preserve">c. </w:t>
            </w:r>
            <w:r>
              <w:t xml:space="preserve">Patient consultation/education                   </w:t>
            </w:r>
            <w:r w:rsidR="00D677BB">
              <w:sym w:font="Wingdings 2" w:char="F050"/>
            </w:r>
            <w:bookmarkStart w:id="0" w:name="_GoBack"/>
            <w:bookmarkEnd w:id="0"/>
            <w:r w:rsidR="00CA1EC6">
              <w:t xml:space="preserve">f. </w:t>
            </w:r>
            <w:r>
              <w:t>Pharmacotherapy for substance use disorders</w:t>
            </w:r>
          </w:p>
        </w:tc>
        <w:tc>
          <w:tcPr>
            <w:tcW w:w="573" w:type="dxa"/>
            <w:tcBorders>
              <w:top w:val="nil"/>
              <w:left w:val="nil"/>
              <w:bottom w:val="nil"/>
              <w:right w:val="nil"/>
            </w:tcBorders>
          </w:tcPr>
          <w:p w:rsidR="005F1A4A" w:rsidRPr="00462EE1" w:rsidRDefault="005F1A4A" w:rsidP="00E93FB0">
            <w:pPr>
              <w:rPr>
                <w:rFonts w:eastAsia="Times New Roman"/>
                <w:color w:val="000000"/>
                <w:sz w:val="40"/>
                <w:szCs w:val="40"/>
              </w:rPr>
            </w:pPr>
          </w:p>
        </w:tc>
      </w:tr>
    </w:tbl>
    <w:p w:rsidR="0019492B" w:rsidRDefault="0019492B" w:rsidP="005F1A4A"/>
    <w:sectPr w:rsidR="0019492B" w:rsidSect="00091761">
      <w:headerReference w:type="default"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C5E" w:rsidRDefault="00A76C5E" w:rsidP="00F13B79">
      <w:r>
        <w:separator/>
      </w:r>
    </w:p>
  </w:endnote>
  <w:endnote w:type="continuationSeparator" w:id="0">
    <w:p w:rsidR="00A76C5E" w:rsidRDefault="00A76C5E" w:rsidP="00F1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DEB" w:rsidRDefault="00EC6DEB">
    <w:pPr>
      <w:pStyle w:val="Footer"/>
    </w:pPr>
    <w:r>
      <w:t xml:space="preserve">Last revised: </w:t>
    </w:r>
    <w:r w:rsidR="00381C50">
      <w:t>March 3</w:t>
    </w:r>
    <w: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C5E" w:rsidRDefault="00A76C5E" w:rsidP="00F13B79">
      <w:r>
        <w:separator/>
      </w:r>
    </w:p>
  </w:footnote>
  <w:footnote w:type="continuationSeparator" w:id="0">
    <w:p w:rsidR="00A76C5E" w:rsidRDefault="00A76C5E" w:rsidP="00F1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79" w:rsidRPr="00F13B79" w:rsidRDefault="00342466" w:rsidP="00F13B79">
    <w:pPr>
      <w:pStyle w:val="Header"/>
      <w:jc w:val="center"/>
      <w:rPr>
        <w:sz w:val="32"/>
        <w:szCs w:val="32"/>
      </w:rPr>
    </w:pPr>
    <w:r>
      <w:rPr>
        <w:sz w:val="32"/>
        <w:szCs w:val="32"/>
      </w:rPr>
      <w:t xml:space="preserve">SBIRT and </w:t>
    </w:r>
    <w:r w:rsidR="00F13B79" w:rsidRPr="00F13B79">
      <w:rPr>
        <w:sz w:val="32"/>
        <w:szCs w:val="32"/>
      </w:rPr>
      <w:t>Integrated C</w:t>
    </w:r>
    <w:r>
      <w:rPr>
        <w:sz w:val="32"/>
        <w:szCs w:val="32"/>
      </w:rPr>
      <w:t>are Readiness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47999"/>
    <w:multiLevelType w:val="hybridMultilevel"/>
    <w:tmpl w:val="8DE4F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B0DEA"/>
    <w:multiLevelType w:val="hybridMultilevel"/>
    <w:tmpl w:val="1C80C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7332A"/>
    <w:multiLevelType w:val="hybridMultilevel"/>
    <w:tmpl w:val="592A1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CE103A"/>
    <w:multiLevelType w:val="hybridMultilevel"/>
    <w:tmpl w:val="8DDA5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47"/>
    <w:rsid w:val="00091761"/>
    <w:rsid w:val="000E3882"/>
    <w:rsid w:val="0013200C"/>
    <w:rsid w:val="0019492B"/>
    <w:rsid w:val="001A648B"/>
    <w:rsid w:val="00223059"/>
    <w:rsid w:val="00224A79"/>
    <w:rsid w:val="00342466"/>
    <w:rsid w:val="00381C50"/>
    <w:rsid w:val="003F4136"/>
    <w:rsid w:val="00425F7F"/>
    <w:rsid w:val="00462EE1"/>
    <w:rsid w:val="004A1DB0"/>
    <w:rsid w:val="0052215B"/>
    <w:rsid w:val="0053512F"/>
    <w:rsid w:val="005F1A4A"/>
    <w:rsid w:val="00790CE3"/>
    <w:rsid w:val="008F4074"/>
    <w:rsid w:val="009070BD"/>
    <w:rsid w:val="009D7D97"/>
    <w:rsid w:val="00A06E1B"/>
    <w:rsid w:val="00A14ACE"/>
    <w:rsid w:val="00A76C5E"/>
    <w:rsid w:val="00AB0D9C"/>
    <w:rsid w:val="00B43247"/>
    <w:rsid w:val="00B91A3A"/>
    <w:rsid w:val="00CA1EC6"/>
    <w:rsid w:val="00CF3263"/>
    <w:rsid w:val="00D13A28"/>
    <w:rsid w:val="00D677BB"/>
    <w:rsid w:val="00DB7262"/>
    <w:rsid w:val="00E07B0A"/>
    <w:rsid w:val="00EC6DEB"/>
    <w:rsid w:val="00F13B79"/>
    <w:rsid w:val="00F94095"/>
    <w:rsid w:val="00FF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51DE6-958F-465C-9DF5-E99FEB96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48B"/>
    <w:pPr>
      <w:ind w:left="720"/>
      <w:contextualSpacing/>
    </w:pPr>
  </w:style>
  <w:style w:type="paragraph" w:styleId="Header">
    <w:name w:val="header"/>
    <w:basedOn w:val="Normal"/>
    <w:link w:val="HeaderChar"/>
    <w:uiPriority w:val="99"/>
    <w:unhideWhenUsed/>
    <w:rsid w:val="00F13B79"/>
    <w:pPr>
      <w:tabs>
        <w:tab w:val="center" w:pos="4680"/>
        <w:tab w:val="right" w:pos="9360"/>
      </w:tabs>
    </w:pPr>
  </w:style>
  <w:style w:type="character" w:customStyle="1" w:styleId="HeaderChar">
    <w:name w:val="Header Char"/>
    <w:basedOn w:val="DefaultParagraphFont"/>
    <w:link w:val="Header"/>
    <w:uiPriority w:val="99"/>
    <w:rsid w:val="00F13B79"/>
  </w:style>
  <w:style w:type="paragraph" w:styleId="Footer">
    <w:name w:val="footer"/>
    <w:basedOn w:val="Normal"/>
    <w:link w:val="FooterChar"/>
    <w:uiPriority w:val="99"/>
    <w:unhideWhenUsed/>
    <w:rsid w:val="00F13B79"/>
    <w:pPr>
      <w:tabs>
        <w:tab w:val="center" w:pos="4680"/>
        <w:tab w:val="right" w:pos="9360"/>
      </w:tabs>
    </w:pPr>
  </w:style>
  <w:style w:type="character" w:customStyle="1" w:styleId="FooterChar">
    <w:name w:val="Footer Char"/>
    <w:basedOn w:val="DefaultParagraphFont"/>
    <w:link w:val="Footer"/>
    <w:uiPriority w:val="99"/>
    <w:rsid w:val="00F13B79"/>
  </w:style>
  <w:style w:type="character" w:styleId="Hyperlink">
    <w:name w:val="Hyperlink"/>
    <w:basedOn w:val="DefaultParagraphFont"/>
    <w:uiPriority w:val="99"/>
    <w:unhideWhenUsed/>
    <w:rsid w:val="009070BD"/>
    <w:rPr>
      <w:color w:val="0000FF" w:themeColor="hyperlink"/>
      <w:u w:val="single"/>
    </w:rPr>
  </w:style>
  <w:style w:type="paragraph" w:styleId="BalloonText">
    <w:name w:val="Balloon Text"/>
    <w:basedOn w:val="Normal"/>
    <w:link w:val="BalloonTextChar"/>
    <w:uiPriority w:val="99"/>
    <w:semiHidden/>
    <w:unhideWhenUsed/>
    <w:rsid w:val="005221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022">
      <w:bodyDiv w:val="1"/>
      <w:marLeft w:val="0"/>
      <w:marRight w:val="0"/>
      <w:marTop w:val="0"/>
      <w:marBottom w:val="0"/>
      <w:divBdr>
        <w:top w:val="none" w:sz="0" w:space="0" w:color="auto"/>
        <w:left w:val="none" w:sz="0" w:space="0" w:color="auto"/>
        <w:bottom w:val="none" w:sz="0" w:space="0" w:color="auto"/>
        <w:right w:val="none" w:sz="0" w:space="0" w:color="auto"/>
      </w:divBdr>
    </w:div>
    <w:div w:id="922490941">
      <w:bodyDiv w:val="1"/>
      <w:marLeft w:val="0"/>
      <w:marRight w:val="0"/>
      <w:marTop w:val="0"/>
      <w:marBottom w:val="0"/>
      <w:divBdr>
        <w:top w:val="none" w:sz="0" w:space="0" w:color="auto"/>
        <w:left w:val="none" w:sz="0" w:space="0" w:color="auto"/>
        <w:bottom w:val="none" w:sz="0" w:space="0" w:color="auto"/>
        <w:right w:val="none" w:sz="0" w:space="0" w:color="auto"/>
      </w:divBdr>
    </w:div>
    <w:div w:id="164620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gration.samhs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ianaSBIRT.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tegration.samhsa.gov/clinical-practice/sbir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511C933E7474DAA017928B3125359" ma:contentTypeVersion="4" ma:contentTypeDescription="Create a new document." ma:contentTypeScope="" ma:versionID="55d233e99e9e907d8949b786c158e573">
  <xsd:schema xmlns:xsd="http://www.w3.org/2001/XMLSchema" xmlns:xs="http://www.w3.org/2001/XMLSchema" xmlns:p="http://schemas.microsoft.com/office/2006/metadata/properties" xmlns:ns2="36d1968d-ec68-4dfe-8a36-373ea19947e6" targetNamespace="http://schemas.microsoft.com/office/2006/metadata/properties" ma:root="true" ma:fieldsID="17ab671de2066ac5cf2883de746d2451" ns2:_="">
    <xsd:import namespace="36d1968d-ec68-4dfe-8a36-373ea199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1968d-ec68-4dfe-8a36-373ea1994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5A9159-63A8-4338-AA44-B249A29AC5B5}"/>
</file>

<file path=customXml/itemProps2.xml><?xml version="1.0" encoding="utf-8"?>
<ds:datastoreItem xmlns:ds="http://schemas.openxmlformats.org/officeDocument/2006/customXml" ds:itemID="{D53DD02C-85AF-4C46-8D4E-58CD926C4055}"/>
</file>

<file path=customXml/itemProps3.xml><?xml version="1.0" encoding="utf-8"?>
<ds:datastoreItem xmlns:ds="http://schemas.openxmlformats.org/officeDocument/2006/customXml" ds:itemID="{BC4F8C89-0360-415E-B47B-F6D855AAD7A6}"/>
</file>

<file path=docProps/app.xml><?xml version="1.0" encoding="utf-8"?>
<Properties xmlns="http://schemas.openxmlformats.org/officeDocument/2006/extended-properties" xmlns:vt="http://schemas.openxmlformats.org/officeDocument/2006/docPropsVTypes">
  <Template>Normal.dotm</Template>
  <TotalTime>14</TotalTime>
  <Pages>3</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Wolf</dc:creator>
  <cp:lastModifiedBy>Todd Jones</cp:lastModifiedBy>
  <cp:revision>5</cp:revision>
  <cp:lastPrinted>2015-03-10T12:35:00Z</cp:lastPrinted>
  <dcterms:created xsi:type="dcterms:W3CDTF">2015-03-10T14:40:00Z</dcterms:created>
  <dcterms:modified xsi:type="dcterms:W3CDTF">2015-03-10T18:19:00Z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0x010100CFA511C933E7474DAA017928B3125359</vt:lpwstr>
  </property>
</Properties>
</file>